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displacedByCustomXml="next"/>
    <w:bookmarkEnd w:id="0" w:displacedByCustomXml="next"/>
    <w:sdt>
      <w:sdtPr>
        <w:id w:val="216956529"/>
        <w:docPartObj>
          <w:docPartGallery w:val="Cover Pages"/>
          <w:docPartUnique/>
        </w:docPartObj>
      </w:sdtPr>
      <w:sdtEndPr>
        <w:rPr>
          <w:lang w:val="ga-IE"/>
        </w:rPr>
      </w:sdtEndPr>
      <w:sdtContent>
        <w:p w14:paraId="21350D28" w14:textId="77777777" w:rsidR="00FB3258" w:rsidRPr="00FB3258" w:rsidRDefault="00FB3258" w:rsidP="00FB3258"/>
        <w:p w14:paraId="0B467A85" w14:textId="77777777" w:rsidR="003F2CD7" w:rsidRDefault="00967197">
          <w:pPr>
            <w:rPr>
              <w:lang w:val="ga-IE"/>
            </w:rPr>
          </w:pPr>
          <w:r>
            <w:rPr>
              <w:noProof/>
            </w:rPr>
            <mc:AlternateContent>
              <mc:Choice Requires="wps">
                <w:drawing>
                  <wp:anchor distT="0" distB="0" distL="114300" distR="114300" simplePos="0" relativeHeight="251657216" behindDoc="0" locked="0" layoutInCell="1" allowOverlap="1" wp14:anchorId="1470AC69" wp14:editId="4192F510">
                    <wp:simplePos x="0" y="0"/>
                    <wp:positionH relativeFrom="column">
                      <wp:posOffset>1190487</wp:posOffset>
                    </wp:positionH>
                    <wp:positionV relativeFrom="paragraph">
                      <wp:posOffset>5797385</wp:posOffset>
                    </wp:positionV>
                    <wp:extent cx="4330700" cy="1143000"/>
                    <wp:effectExtent l="1270" t="635" r="1905" b="0"/>
                    <wp:wrapTight wrapText="bothSides">
                      <wp:wrapPolygon edited="0">
                        <wp:start x="0" y="0"/>
                        <wp:lineTo x="21600" y="0"/>
                        <wp:lineTo x="21600" y="21600"/>
                        <wp:lineTo x="0" y="21600"/>
                        <wp:lineTo x="0" y="0"/>
                      </wp:wrapPolygon>
                    </wp:wrapTigh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08FE2" w14:textId="77777777" w:rsidR="004C56CA" w:rsidRPr="00967197" w:rsidRDefault="004C56CA" w:rsidP="00967197">
                                <w:pPr>
                                  <w:jc w:val="center"/>
                                  <w:rPr>
                                    <w:rFonts w:cs="Arial"/>
                                    <w:b/>
                                    <w:color w:val="063A59"/>
                                    <w:sz w:val="52"/>
                                    <w:lang w:val="en-IE"/>
                                  </w:rPr>
                                </w:pPr>
                                <w:r w:rsidRPr="00967197">
                                  <w:rPr>
                                    <w:rFonts w:cs="Arial"/>
                                    <w:b/>
                                    <w:color w:val="063A59"/>
                                    <w:sz w:val="52"/>
                                    <w:lang w:val="en-IE"/>
                                  </w:rPr>
                                  <w:t>Safety, Health and Welfare Training Policy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70AC69" id="_x0000_t202" coordsize="21600,21600" o:spt="202" path="m,l,21600r21600,l21600,xe">
                    <v:stroke joinstyle="miter"/>
                    <v:path gradientshapeok="t" o:connecttype="rect"/>
                  </v:shapetype>
                  <v:shape id="Text Box 11" o:spid="_x0000_s1026" type="#_x0000_t202" style="position:absolute;margin-left:93.75pt;margin-top:456.5pt;width:341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" filled="f" stroked="f">
                    <v:textbox inset=",7.2pt,,7.2pt">
                      <w:txbxContent>
                        <w:p w14:paraId="17F08FE2" w14:textId="77777777" w:rsidR="004C56CA" w:rsidRPr="00967197" w:rsidRDefault="004C56CA" w:rsidP="00967197">
                          <w:pPr>
                            <w:jc w:val="center"/>
                            <w:rPr>
                              <w:rFonts w:cs="Arial"/>
                              <w:b/>
                              <w:color w:val="063A59"/>
                              <w:sz w:val="52"/>
                              <w:lang w:val="en-IE"/>
                            </w:rPr>
                          </w:pPr>
                          <w:r w:rsidRPr="00967197">
                            <w:rPr>
                              <w:rFonts w:cs="Arial"/>
                              <w:b/>
                              <w:color w:val="063A59"/>
                              <w:sz w:val="52"/>
                              <w:lang w:val="en-IE"/>
                            </w:rPr>
                            <w:t>Safety, Health and Welfare Training Policy</w:t>
                          </w:r>
                        </w:p>
                      </w:txbxContent>
                    </v:textbox>
                    <w10:wrap type="tight"/>
                  </v:shape>
                </w:pict>
              </mc:Fallback>
            </mc:AlternateContent>
          </w:r>
          <w:r w:rsidR="003E03B4">
            <w:rPr>
              <w:noProof/>
            </w:rPr>
            <mc:AlternateContent>
              <mc:Choice Requires="wps">
                <w:drawing>
                  <wp:anchor distT="0" distB="0" distL="114300" distR="114300" simplePos="0" relativeHeight="251655168" behindDoc="0" locked="0" layoutInCell="1" allowOverlap="1" wp14:anchorId="3DD03424" wp14:editId="776D0DEF">
                    <wp:simplePos x="0" y="0"/>
                    <wp:positionH relativeFrom="column">
                      <wp:posOffset>1282700</wp:posOffset>
                    </wp:positionH>
                    <wp:positionV relativeFrom="paragraph">
                      <wp:posOffset>4907915</wp:posOffset>
                    </wp:positionV>
                    <wp:extent cx="4114800" cy="767715"/>
                    <wp:effectExtent l="0" t="0" r="0" b="0"/>
                    <wp:wrapTight wrapText="bothSides">
                      <wp:wrapPolygon edited="0">
                        <wp:start x="200" y="1608"/>
                        <wp:lineTo x="200" y="19831"/>
                        <wp:lineTo x="21300" y="19831"/>
                        <wp:lineTo x="21300" y="1608"/>
                        <wp:lineTo x="200" y="1608"/>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F8CE5" w14:textId="77777777" w:rsidR="004C56CA" w:rsidRDefault="004C56CA" w:rsidP="003E61D7">
                                <w:pPr>
                                  <w:rPr>
                                    <w:rFonts w:cs="Arial"/>
                                    <w:b/>
                                    <w:bCs/>
                                    <w:color w:val="063A59"/>
                                    <w:sz w:val="72"/>
                                  </w:rPr>
                                </w:pPr>
                                <w:r>
                                  <w:rPr>
                                    <w:rFonts w:cs="Arial"/>
                                    <w:b/>
                                    <w:bCs/>
                                    <w:color w:val="063A59"/>
                                    <w:sz w:val="72"/>
                                  </w:rPr>
                                  <w:t xml:space="preserve">TU Dublin Policy </w:t>
                                </w:r>
                              </w:p>
                              <w:p w14:paraId="32AD2C80" w14:textId="77777777" w:rsidR="004C56CA" w:rsidRPr="002D63B1" w:rsidRDefault="004C56CA" w:rsidP="003E61D7">
                                <w:pPr>
                                  <w:rPr>
                                    <w:rFonts w:cs="Arial"/>
                                    <w:b/>
                                    <w:bCs/>
                                    <w:color w:val="063A59"/>
                                    <w:sz w:val="7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D03424" id="Text Box 10" o:spid="_x0000_s1027" type="#_x0000_t202" style="position:absolute;margin-left:101pt;margin-top:386.45pt;width:324pt;height:6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" filled="f" stroked="f">
                    <v:textbox inset=",7.2pt,,7.2pt">
                      <w:txbxContent>
                        <w:p w14:paraId="7E5F8CE5" w14:textId="77777777" w:rsidR="004C56CA" w:rsidRDefault="004C56CA" w:rsidP="003E61D7">
                          <w:pPr>
                            <w:rPr>
                              <w:rFonts w:cs="Arial"/>
                              <w:b/>
                              <w:bCs/>
                              <w:color w:val="063A59"/>
                              <w:sz w:val="72"/>
                            </w:rPr>
                          </w:pPr>
                          <w:r>
                            <w:rPr>
                              <w:rFonts w:cs="Arial"/>
                              <w:b/>
                              <w:bCs/>
                              <w:color w:val="063A59"/>
                              <w:sz w:val="72"/>
                            </w:rPr>
                            <w:t xml:space="preserve">TU Dublin Policy </w:t>
                          </w:r>
                        </w:p>
                        <w:p w14:paraId="32AD2C80" w14:textId="77777777" w:rsidR="004C56CA" w:rsidRPr="002D63B1" w:rsidRDefault="004C56CA" w:rsidP="003E61D7">
                          <w:pPr>
                            <w:rPr>
                              <w:rFonts w:cs="Arial"/>
                              <w:b/>
                              <w:bCs/>
                              <w:color w:val="063A59"/>
                              <w:sz w:val="72"/>
                            </w:rPr>
                          </w:pPr>
                        </w:p>
                      </w:txbxContent>
                    </v:textbox>
                    <w10:wrap type="tight"/>
                  </v:shape>
                </w:pict>
              </mc:Fallback>
            </mc:AlternateContent>
          </w:r>
          <w:r w:rsidR="00895EFA">
            <w:rPr>
              <w:noProof/>
            </w:rPr>
            <mc:AlternateContent>
              <mc:Choice Requires="wps">
                <w:drawing>
                  <wp:anchor distT="0" distB="0" distL="114300" distR="114300" simplePos="0" relativeHeight="251659264" behindDoc="0" locked="0" layoutInCell="1" allowOverlap="1" wp14:anchorId="2DBC8741" wp14:editId="349DA527">
                    <wp:simplePos x="0" y="0"/>
                    <wp:positionH relativeFrom="column">
                      <wp:posOffset>-687553</wp:posOffset>
                    </wp:positionH>
                    <wp:positionV relativeFrom="paragraph">
                      <wp:posOffset>7843393</wp:posOffset>
                    </wp:positionV>
                    <wp:extent cx="3657600" cy="929030"/>
                    <wp:effectExtent l="0" t="0" r="0" b="0"/>
                    <wp:wrapTight wrapText="bothSides">
                      <wp:wrapPolygon edited="0">
                        <wp:start x="225" y="1329"/>
                        <wp:lineTo x="225" y="19932"/>
                        <wp:lineTo x="21263" y="19932"/>
                        <wp:lineTo x="21263" y="1329"/>
                        <wp:lineTo x="225" y="1329"/>
                      </wp:wrapPolygon>
                    </wp:wrapTight>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2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143C9" w14:textId="77777777" w:rsidR="004C56CA" w:rsidRPr="00895EFA" w:rsidRDefault="004C56CA" w:rsidP="003E61D7">
                                <w:pPr>
                                  <w:rPr>
                                    <w:rFonts w:cs="Arial"/>
                                    <w:color w:val="063A5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BC8741" id="Text Box 13" o:spid="_x0000_s1028" type="#_x0000_t202" style="position:absolute;margin-left:-54.15pt;margin-top:617.6pt;width:4in;height:7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" filled="f" stroked="f">
                    <v:textbox inset=",7.2pt,,7.2pt">
                      <w:txbxContent>
                        <w:p w14:paraId="29D143C9" w14:textId="77777777" w:rsidR="004C56CA" w:rsidRPr="00895EFA" w:rsidRDefault="004C56CA" w:rsidP="003E61D7">
                          <w:pPr>
                            <w:rPr>
                              <w:rFonts w:cs="Arial"/>
                              <w:color w:val="063A59"/>
                            </w:rPr>
                          </w:pPr>
                        </w:p>
                      </w:txbxContent>
                    </v:textbox>
                    <w10:wrap type="tight"/>
                  </v:shape>
                </w:pict>
              </mc:Fallback>
            </mc:AlternateContent>
          </w:r>
          <w:r w:rsidR="003E61D7" w:rsidRPr="00FB3258">
            <w:rPr>
              <w:lang w:val="ga-IE"/>
            </w:rPr>
            <w:br w:type="page"/>
          </w:r>
        </w:p>
        <w:p w14:paraId="29D702A1" w14:textId="77777777" w:rsidR="003F2CD7" w:rsidRDefault="003F2CD7">
          <w:pPr>
            <w:rPr>
              <w:lang w:val="ga-IE"/>
            </w:rPr>
          </w:pPr>
        </w:p>
        <w:p w14:paraId="388CAAD0" w14:textId="77777777" w:rsidR="003E61D7" w:rsidRDefault="009E5743">
          <w:pPr>
            <w:rPr>
              <w:noProof/>
            </w:rPr>
          </w:pPr>
        </w:p>
      </w:sdtContent>
    </w:sdt>
    <w:p w14:paraId="0781BC9E" w14:textId="77777777" w:rsidR="002B6778" w:rsidRDefault="002B6778" w:rsidP="00C15C46">
      <w:pPr>
        <w:pStyle w:val="Heading1"/>
        <w:numPr>
          <w:ilvl w:val="0"/>
          <w:numId w:val="0"/>
        </w:numPr>
        <w:ind w:left="720"/>
      </w:pPr>
    </w:p>
    <w:bookmarkStart w:id="1" w:name="_Toc135910050" w:displacedByCustomXml="next"/>
    <w:sdt>
      <w:sdtPr>
        <w:rPr>
          <w:rFonts w:ascii="Times" w:eastAsiaTheme="minorHAnsi" w:hAnsi="Times" w:cstheme="minorBidi"/>
          <w:b w:val="0"/>
          <w:color w:val="auto"/>
          <w:sz w:val="24"/>
          <w:szCs w:val="24"/>
        </w:rPr>
        <w:id w:val="-754207920"/>
        <w:docPartObj>
          <w:docPartGallery w:val="Table of Contents"/>
          <w:docPartUnique/>
        </w:docPartObj>
      </w:sdtPr>
      <w:sdtEndPr>
        <w:rPr>
          <w:rFonts w:ascii="Arial" w:hAnsi="Arial"/>
          <w:bCs/>
          <w:noProof/>
          <w:color w:val="54565A"/>
          <w:sz w:val="20"/>
        </w:rPr>
      </w:sdtEndPr>
      <w:sdtContent>
        <w:p w14:paraId="172D9EB7" w14:textId="77777777" w:rsidR="002B6778" w:rsidRDefault="002B6778" w:rsidP="00C15C46">
          <w:pPr>
            <w:pStyle w:val="Heading1"/>
            <w:numPr>
              <w:ilvl w:val="0"/>
              <w:numId w:val="0"/>
            </w:numPr>
          </w:pPr>
          <w:r>
            <w:t>Table of Contents</w:t>
          </w:r>
          <w:bookmarkEnd w:id="1"/>
        </w:p>
        <w:p w14:paraId="753B4914" w14:textId="34973E40" w:rsidR="00E22D78" w:rsidRDefault="002B6778">
          <w:pPr>
            <w:pStyle w:val="TOC1"/>
            <w:tabs>
              <w:tab w:val="right" w:leader="dot" w:pos="8296"/>
            </w:tabs>
            <w:rPr>
              <w:rFonts w:asciiTheme="minorHAnsi" w:eastAsiaTheme="minorEastAsia" w:hAnsiTheme="minorHAnsi"/>
              <w:noProof/>
              <w:color w:val="auto"/>
              <w:sz w:val="22"/>
              <w:szCs w:val="22"/>
              <w:lang w:val="en-GB" w:eastAsia="en-GB"/>
            </w:rPr>
          </w:pPr>
          <w:r>
            <w:fldChar w:fldCharType="begin"/>
          </w:r>
          <w:r>
            <w:instrText xml:space="preserve"> TOC \o "1-3" \h \z \u </w:instrText>
          </w:r>
          <w:r>
            <w:fldChar w:fldCharType="separate"/>
          </w:r>
          <w:hyperlink w:anchor="_Toc135910050" w:history="1">
            <w:r w:rsidR="00E22D78" w:rsidRPr="00084F6E">
              <w:rPr>
                <w:rStyle w:val="Hyperlink"/>
                <w:noProof/>
              </w:rPr>
              <w:t>Table of Contents</w:t>
            </w:r>
            <w:r w:rsidR="00E22D78">
              <w:rPr>
                <w:noProof/>
                <w:webHidden/>
              </w:rPr>
              <w:tab/>
            </w:r>
            <w:r w:rsidR="00E22D78">
              <w:rPr>
                <w:noProof/>
                <w:webHidden/>
              </w:rPr>
              <w:fldChar w:fldCharType="begin"/>
            </w:r>
            <w:r w:rsidR="00E22D78">
              <w:rPr>
                <w:noProof/>
                <w:webHidden/>
              </w:rPr>
              <w:instrText xml:space="preserve"> PAGEREF _Toc135910050 \h </w:instrText>
            </w:r>
            <w:r w:rsidR="00E22D78">
              <w:rPr>
                <w:noProof/>
                <w:webHidden/>
              </w:rPr>
            </w:r>
            <w:r w:rsidR="00E22D78">
              <w:rPr>
                <w:noProof/>
                <w:webHidden/>
              </w:rPr>
              <w:fldChar w:fldCharType="separate"/>
            </w:r>
            <w:r w:rsidR="00E22D78">
              <w:rPr>
                <w:noProof/>
                <w:webHidden/>
              </w:rPr>
              <w:t>2</w:t>
            </w:r>
            <w:r w:rsidR="00E22D78">
              <w:rPr>
                <w:noProof/>
                <w:webHidden/>
              </w:rPr>
              <w:fldChar w:fldCharType="end"/>
            </w:r>
          </w:hyperlink>
        </w:p>
        <w:p w14:paraId="7E6F7AA6" w14:textId="27180808" w:rsidR="00E22D78" w:rsidRDefault="009E5743">
          <w:pPr>
            <w:pStyle w:val="TOC1"/>
            <w:tabs>
              <w:tab w:val="left" w:pos="480"/>
              <w:tab w:val="right" w:leader="dot" w:pos="8296"/>
            </w:tabs>
            <w:rPr>
              <w:rFonts w:asciiTheme="minorHAnsi" w:eastAsiaTheme="minorEastAsia" w:hAnsiTheme="minorHAnsi"/>
              <w:noProof/>
              <w:color w:val="auto"/>
              <w:sz w:val="22"/>
              <w:szCs w:val="22"/>
              <w:lang w:val="en-GB" w:eastAsia="en-GB"/>
            </w:rPr>
          </w:pPr>
          <w:hyperlink w:anchor="_Toc135910051" w:history="1">
            <w:r w:rsidR="00E22D78" w:rsidRPr="00084F6E">
              <w:rPr>
                <w:rStyle w:val="Hyperlink"/>
                <w:noProof/>
              </w:rPr>
              <w:t>1.</w:t>
            </w:r>
            <w:r w:rsidR="00E22D78">
              <w:rPr>
                <w:rFonts w:asciiTheme="minorHAnsi" w:eastAsiaTheme="minorEastAsia" w:hAnsiTheme="minorHAnsi"/>
                <w:noProof/>
                <w:color w:val="auto"/>
                <w:sz w:val="22"/>
                <w:szCs w:val="22"/>
                <w:lang w:val="en-GB" w:eastAsia="en-GB"/>
              </w:rPr>
              <w:tab/>
            </w:r>
            <w:r w:rsidR="00E22D78" w:rsidRPr="00084F6E">
              <w:rPr>
                <w:rStyle w:val="Hyperlink"/>
                <w:noProof/>
              </w:rPr>
              <w:t>Document Control Summary</w:t>
            </w:r>
            <w:r w:rsidR="00E22D78">
              <w:rPr>
                <w:noProof/>
                <w:webHidden/>
              </w:rPr>
              <w:tab/>
            </w:r>
            <w:r w:rsidR="00E22D78">
              <w:rPr>
                <w:noProof/>
                <w:webHidden/>
              </w:rPr>
              <w:fldChar w:fldCharType="begin"/>
            </w:r>
            <w:r w:rsidR="00E22D78">
              <w:rPr>
                <w:noProof/>
                <w:webHidden/>
              </w:rPr>
              <w:instrText xml:space="preserve"> PAGEREF _Toc135910051 \h </w:instrText>
            </w:r>
            <w:r w:rsidR="00E22D78">
              <w:rPr>
                <w:noProof/>
                <w:webHidden/>
              </w:rPr>
            </w:r>
            <w:r w:rsidR="00E22D78">
              <w:rPr>
                <w:noProof/>
                <w:webHidden/>
              </w:rPr>
              <w:fldChar w:fldCharType="separate"/>
            </w:r>
            <w:r w:rsidR="00E22D78">
              <w:rPr>
                <w:noProof/>
                <w:webHidden/>
              </w:rPr>
              <w:t>2</w:t>
            </w:r>
            <w:r w:rsidR="00E22D78">
              <w:rPr>
                <w:noProof/>
                <w:webHidden/>
              </w:rPr>
              <w:fldChar w:fldCharType="end"/>
            </w:r>
          </w:hyperlink>
        </w:p>
        <w:p w14:paraId="15C13236" w14:textId="14C92287" w:rsidR="00E22D78" w:rsidRDefault="009E5743">
          <w:pPr>
            <w:pStyle w:val="TOC1"/>
            <w:tabs>
              <w:tab w:val="left" w:pos="480"/>
              <w:tab w:val="right" w:leader="dot" w:pos="8296"/>
            </w:tabs>
            <w:rPr>
              <w:rFonts w:asciiTheme="minorHAnsi" w:eastAsiaTheme="minorEastAsia" w:hAnsiTheme="minorHAnsi"/>
              <w:noProof/>
              <w:color w:val="auto"/>
              <w:sz w:val="22"/>
              <w:szCs w:val="22"/>
              <w:lang w:val="en-GB" w:eastAsia="en-GB"/>
            </w:rPr>
          </w:pPr>
          <w:hyperlink w:anchor="_Toc135910052" w:history="1">
            <w:r w:rsidR="00E22D78" w:rsidRPr="00084F6E">
              <w:rPr>
                <w:rStyle w:val="Hyperlink"/>
                <w:noProof/>
              </w:rPr>
              <w:t>2.</w:t>
            </w:r>
            <w:r w:rsidR="00E22D78">
              <w:rPr>
                <w:rFonts w:asciiTheme="minorHAnsi" w:eastAsiaTheme="minorEastAsia" w:hAnsiTheme="minorHAnsi"/>
                <w:noProof/>
                <w:color w:val="auto"/>
                <w:sz w:val="22"/>
                <w:szCs w:val="22"/>
                <w:lang w:val="en-GB" w:eastAsia="en-GB"/>
              </w:rPr>
              <w:tab/>
            </w:r>
            <w:r w:rsidR="00E22D78" w:rsidRPr="00084F6E">
              <w:rPr>
                <w:rStyle w:val="Hyperlink"/>
                <w:noProof/>
              </w:rPr>
              <w:t>Introduction / Context</w:t>
            </w:r>
            <w:r w:rsidR="00E22D78">
              <w:rPr>
                <w:noProof/>
                <w:webHidden/>
              </w:rPr>
              <w:tab/>
            </w:r>
            <w:r w:rsidR="00E22D78">
              <w:rPr>
                <w:noProof/>
                <w:webHidden/>
              </w:rPr>
              <w:fldChar w:fldCharType="begin"/>
            </w:r>
            <w:r w:rsidR="00E22D78">
              <w:rPr>
                <w:noProof/>
                <w:webHidden/>
              </w:rPr>
              <w:instrText xml:space="preserve"> PAGEREF _Toc135910052 \h </w:instrText>
            </w:r>
            <w:r w:rsidR="00E22D78">
              <w:rPr>
                <w:noProof/>
                <w:webHidden/>
              </w:rPr>
            </w:r>
            <w:r w:rsidR="00E22D78">
              <w:rPr>
                <w:noProof/>
                <w:webHidden/>
              </w:rPr>
              <w:fldChar w:fldCharType="separate"/>
            </w:r>
            <w:r w:rsidR="00E22D78">
              <w:rPr>
                <w:noProof/>
                <w:webHidden/>
              </w:rPr>
              <w:t>3</w:t>
            </w:r>
            <w:r w:rsidR="00E22D78">
              <w:rPr>
                <w:noProof/>
                <w:webHidden/>
              </w:rPr>
              <w:fldChar w:fldCharType="end"/>
            </w:r>
          </w:hyperlink>
        </w:p>
        <w:p w14:paraId="2FAFF77E" w14:textId="7458D1D5" w:rsidR="00E22D78" w:rsidRDefault="009E5743">
          <w:pPr>
            <w:pStyle w:val="TOC1"/>
            <w:tabs>
              <w:tab w:val="left" w:pos="480"/>
              <w:tab w:val="right" w:leader="dot" w:pos="8296"/>
            </w:tabs>
            <w:rPr>
              <w:rFonts w:asciiTheme="minorHAnsi" w:eastAsiaTheme="minorEastAsia" w:hAnsiTheme="minorHAnsi"/>
              <w:noProof/>
              <w:color w:val="auto"/>
              <w:sz w:val="22"/>
              <w:szCs w:val="22"/>
              <w:lang w:val="en-GB" w:eastAsia="en-GB"/>
            </w:rPr>
          </w:pPr>
          <w:hyperlink w:anchor="_Toc135910053" w:history="1">
            <w:r w:rsidR="00E22D78" w:rsidRPr="00084F6E">
              <w:rPr>
                <w:rStyle w:val="Hyperlink"/>
                <w:noProof/>
              </w:rPr>
              <w:t>3.</w:t>
            </w:r>
            <w:r w:rsidR="00E22D78">
              <w:rPr>
                <w:rFonts w:asciiTheme="minorHAnsi" w:eastAsiaTheme="minorEastAsia" w:hAnsiTheme="minorHAnsi"/>
                <w:noProof/>
                <w:color w:val="auto"/>
                <w:sz w:val="22"/>
                <w:szCs w:val="22"/>
                <w:lang w:val="en-GB" w:eastAsia="en-GB"/>
              </w:rPr>
              <w:tab/>
            </w:r>
            <w:r w:rsidR="00E22D78" w:rsidRPr="00084F6E">
              <w:rPr>
                <w:rStyle w:val="Hyperlink"/>
                <w:noProof/>
              </w:rPr>
              <w:t>Purpose</w:t>
            </w:r>
            <w:r w:rsidR="00E22D78">
              <w:rPr>
                <w:noProof/>
                <w:webHidden/>
              </w:rPr>
              <w:tab/>
            </w:r>
            <w:r w:rsidR="00E22D78">
              <w:rPr>
                <w:noProof/>
                <w:webHidden/>
              </w:rPr>
              <w:fldChar w:fldCharType="begin"/>
            </w:r>
            <w:r w:rsidR="00E22D78">
              <w:rPr>
                <w:noProof/>
                <w:webHidden/>
              </w:rPr>
              <w:instrText xml:space="preserve"> PAGEREF _Toc135910053 \h </w:instrText>
            </w:r>
            <w:r w:rsidR="00E22D78">
              <w:rPr>
                <w:noProof/>
                <w:webHidden/>
              </w:rPr>
            </w:r>
            <w:r w:rsidR="00E22D78">
              <w:rPr>
                <w:noProof/>
                <w:webHidden/>
              </w:rPr>
              <w:fldChar w:fldCharType="separate"/>
            </w:r>
            <w:r w:rsidR="00E22D78">
              <w:rPr>
                <w:noProof/>
                <w:webHidden/>
              </w:rPr>
              <w:t>3</w:t>
            </w:r>
            <w:r w:rsidR="00E22D78">
              <w:rPr>
                <w:noProof/>
                <w:webHidden/>
              </w:rPr>
              <w:fldChar w:fldCharType="end"/>
            </w:r>
          </w:hyperlink>
        </w:p>
        <w:p w14:paraId="0CB66741" w14:textId="41D6BDA8" w:rsidR="00E22D78" w:rsidRDefault="009E5743">
          <w:pPr>
            <w:pStyle w:val="TOC1"/>
            <w:tabs>
              <w:tab w:val="left" w:pos="480"/>
              <w:tab w:val="right" w:leader="dot" w:pos="8296"/>
            </w:tabs>
            <w:rPr>
              <w:rFonts w:asciiTheme="minorHAnsi" w:eastAsiaTheme="minorEastAsia" w:hAnsiTheme="minorHAnsi"/>
              <w:noProof/>
              <w:color w:val="auto"/>
              <w:sz w:val="22"/>
              <w:szCs w:val="22"/>
              <w:lang w:val="en-GB" w:eastAsia="en-GB"/>
            </w:rPr>
          </w:pPr>
          <w:hyperlink w:anchor="_Toc135910054" w:history="1">
            <w:r w:rsidR="00E22D78" w:rsidRPr="00084F6E">
              <w:rPr>
                <w:rStyle w:val="Hyperlink"/>
                <w:noProof/>
              </w:rPr>
              <w:t>4.</w:t>
            </w:r>
            <w:r w:rsidR="00E22D78">
              <w:rPr>
                <w:rFonts w:asciiTheme="minorHAnsi" w:eastAsiaTheme="minorEastAsia" w:hAnsiTheme="minorHAnsi"/>
                <w:noProof/>
                <w:color w:val="auto"/>
                <w:sz w:val="22"/>
                <w:szCs w:val="22"/>
                <w:lang w:val="en-GB" w:eastAsia="en-GB"/>
              </w:rPr>
              <w:tab/>
            </w:r>
            <w:r w:rsidR="00E22D78" w:rsidRPr="00084F6E">
              <w:rPr>
                <w:rStyle w:val="Hyperlink"/>
                <w:noProof/>
              </w:rPr>
              <w:t>Scope</w:t>
            </w:r>
            <w:r w:rsidR="00E22D78">
              <w:rPr>
                <w:noProof/>
                <w:webHidden/>
              </w:rPr>
              <w:tab/>
            </w:r>
            <w:r w:rsidR="00E22D78">
              <w:rPr>
                <w:noProof/>
                <w:webHidden/>
              </w:rPr>
              <w:fldChar w:fldCharType="begin"/>
            </w:r>
            <w:r w:rsidR="00E22D78">
              <w:rPr>
                <w:noProof/>
                <w:webHidden/>
              </w:rPr>
              <w:instrText xml:space="preserve"> PAGEREF _Toc135910054 \h </w:instrText>
            </w:r>
            <w:r w:rsidR="00E22D78">
              <w:rPr>
                <w:noProof/>
                <w:webHidden/>
              </w:rPr>
            </w:r>
            <w:r w:rsidR="00E22D78">
              <w:rPr>
                <w:noProof/>
                <w:webHidden/>
              </w:rPr>
              <w:fldChar w:fldCharType="separate"/>
            </w:r>
            <w:r w:rsidR="00E22D78">
              <w:rPr>
                <w:noProof/>
                <w:webHidden/>
              </w:rPr>
              <w:t>3</w:t>
            </w:r>
            <w:r w:rsidR="00E22D78">
              <w:rPr>
                <w:noProof/>
                <w:webHidden/>
              </w:rPr>
              <w:fldChar w:fldCharType="end"/>
            </w:r>
          </w:hyperlink>
        </w:p>
        <w:p w14:paraId="4CA3F138" w14:textId="0C14035A" w:rsidR="00E22D78" w:rsidRDefault="009E5743">
          <w:pPr>
            <w:pStyle w:val="TOC1"/>
            <w:tabs>
              <w:tab w:val="left" w:pos="480"/>
              <w:tab w:val="right" w:leader="dot" w:pos="8296"/>
            </w:tabs>
            <w:rPr>
              <w:rFonts w:asciiTheme="minorHAnsi" w:eastAsiaTheme="minorEastAsia" w:hAnsiTheme="minorHAnsi"/>
              <w:noProof/>
              <w:color w:val="auto"/>
              <w:sz w:val="22"/>
              <w:szCs w:val="22"/>
              <w:lang w:val="en-GB" w:eastAsia="en-GB"/>
            </w:rPr>
          </w:pPr>
          <w:hyperlink w:anchor="_Toc135910055" w:history="1">
            <w:r w:rsidR="00E22D78" w:rsidRPr="00084F6E">
              <w:rPr>
                <w:rStyle w:val="Hyperlink"/>
                <w:noProof/>
              </w:rPr>
              <w:t>5.</w:t>
            </w:r>
            <w:r w:rsidR="00E22D78">
              <w:rPr>
                <w:rFonts w:asciiTheme="minorHAnsi" w:eastAsiaTheme="minorEastAsia" w:hAnsiTheme="minorHAnsi"/>
                <w:noProof/>
                <w:color w:val="auto"/>
                <w:sz w:val="22"/>
                <w:szCs w:val="22"/>
                <w:lang w:val="en-GB" w:eastAsia="en-GB"/>
              </w:rPr>
              <w:tab/>
            </w:r>
            <w:r w:rsidR="00E22D78" w:rsidRPr="00084F6E">
              <w:rPr>
                <w:rStyle w:val="Hyperlink"/>
                <w:noProof/>
              </w:rPr>
              <w:t>Definitions</w:t>
            </w:r>
            <w:r w:rsidR="00E22D78">
              <w:rPr>
                <w:noProof/>
                <w:webHidden/>
              </w:rPr>
              <w:tab/>
            </w:r>
            <w:r w:rsidR="00E22D78">
              <w:rPr>
                <w:noProof/>
                <w:webHidden/>
              </w:rPr>
              <w:fldChar w:fldCharType="begin"/>
            </w:r>
            <w:r w:rsidR="00E22D78">
              <w:rPr>
                <w:noProof/>
                <w:webHidden/>
              </w:rPr>
              <w:instrText xml:space="preserve"> PAGEREF _Toc135910055 \h </w:instrText>
            </w:r>
            <w:r w:rsidR="00E22D78">
              <w:rPr>
                <w:noProof/>
                <w:webHidden/>
              </w:rPr>
            </w:r>
            <w:r w:rsidR="00E22D78">
              <w:rPr>
                <w:noProof/>
                <w:webHidden/>
              </w:rPr>
              <w:fldChar w:fldCharType="separate"/>
            </w:r>
            <w:r w:rsidR="00E22D78">
              <w:rPr>
                <w:noProof/>
                <w:webHidden/>
              </w:rPr>
              <w:t>4</w:t>
            </w:r>
            <w:r w:rsidR="00E22D78">
              <w:rPr>
                <w:noProof/>
                <w:webHidden/>
              </w:rPr>
              <w:fldChar w:fldCharType="end"/>
            </w:r>
          </w:hyperlink>
        </w:p>
        <w:p w14:paraId="4869CB8F" w14:textId="3452ABE8" w:rsidR="00E22D78" w:rsidRDefault="009E5743">
          <w:pPr>
            <w:pStyle w:val="TOC1"/>
            <w:tabs>
              <w:tab w:val="left" w:pos="480"/>
              <w:tab w:val="right" w:leader="dot" w:pos="8296"/>
            </w:tabs>
            <w:rPr>
              <w:rFonts w:asciiTheme="minorHAnsi" w:eastAsiaTheme="minorEastAsia" w:hAnsiTheme="minorHAnsi"/>
              <w:noProof/>
              <w:color w:val="auto"/>
              <w:sz w:val="22"/>
              <w:szCs w:val="22"/>
              <w:lang w:val="en-GB" w:eastAsia="en-GB"/>
            </w:rPr>
          </w:pPr>
          <w:hyperlink w:anchor="_Toc135910056" w:history="1">
            <w:r w:rsidR="00E22D78" w:rsidRPr="00084F6E">
              <w:rPr>
                <w:rStyle w:val="Hyperlink"/>
                <w:noProof/>
              </w:rPr>
              <w:t>6.</w:t>
            </w:r>
            <w:r w:rsidR="00E22D78">
              <w:rPr>
                <w:rFonts w:asciiTheme="minorHAnsi" w:eastAsiaTheme="minorEastAsia" w:hAnsiTheme="minorHAnsi"/>
                <w:noProof/>
                <w:color w:val="auto"/>
                <w:sz w:val="22"/>
                <w:szCs w:val="22"/>
                <w:lang w:val="en-GB" w:eastAsia="en-GB"/>
              </w:rPr>
              <w:tab/>
            </w:r>
            <w:r w:rsidR="00E22D78" w:rsidRPr="00084F6E">
              <w:rPr>
                <w:rStyle w:val="Hyperlink"/>
                <w:noProof/>
              </w:rPr>
              <w:t>Policy Details:</w:t>
            </w:r>
            <w:r w:rsidR="00E22D78">
              <w:rPr>
                <w:noProof/>
                <w:webHidden/>
              </w:rPr>
              <w:tab/>
            </w:r>
            <w:r w:rsidR="00E22D78">
              <w:rPr>
                <w:noProof/>
                <w:webHidden/>
              </w:rPr>
              <w:fldChar w:fldCharType="begin"/>
            </w:r>
            <w:r w:rsidR="00E22D78">
              <w:rPr>
                <w:noProof/>
                <w:webHidden/>
              </w:rPr>
              <w:instrText xml:space="preserve"> PAGEREF _Toc135910056 \h </w:instrText>
            </w:r>
            <w:r w:rsidR="00E22D78">
              <w:rPr>
                <w:noProof/>
                <w:webHidden/>
              </w:rPr>
            </w:r>
            <w:r w:rsidR="00E22D78">
              <w:rPr>
                <w:noProof/>
                <w:webHidden/>
              </w:rPr>
              <w:fldChar w:fldCharType="separate"/>
            </w:r>
            <w:r w:rsidR="00E22D78">
              <w:rPr>
                <w:noProof/>
                <w:webHidden/>
              </w:rPr>
              <w:t>4</w:t>
            </w:r>
            <w:r w:rsidR="00E22D78">
              <w:rPr>
                <w:noProof/>
                <w:webHidden/>
              </w:rPr>
              <w:fldChar w:fldCharType="end"/>
            </w:r>
          </w:hyperlink>
        </w:p>
        <w:p w14:paraId="1DB2FB1A" w14:textId="2DE0F0B1" w:rsidR="00E22D78" w:rsidRDefault="009E5743">
          <w:pPr>
            <w:pStyle w:val="TOC2"/>
            <w:tabs>
              <w:tab w:val="right" w:leader="dot" w:pos="8296"/>
            </w:tabs>
            <w:rPr>
              <w:rFonts w:asciiTheme="minorHAnsi" w:eastAsiaTheme="minorEastAsia" w:hAnsiTheme="minorHAnsi"/>
              <w:noProof/>
              <w:color w:val="auto"/>
              <w:sz w:val="22"/>
              <w:szCs w:val="22"/>
              <w:lang w:val="en-GB" w:eastAsia="en-GB"/>
            </w:rPr>
          </w:pPr>
          <w:hyperlink w:anchor="_Toc135910057" w:history="1">
            <w:r w:rsidR="00E22D78" w:rsidRPr="00084F6E">
              <w:rPr>
                <w:rStyle w:val="Hyperlink"/>
                <w:rFonts w:cs="Times"/>
                <w:noProof/>
              </w:rPr>
              <w:t>6</w:t>
            </w:r>
            <w:r w:rsidR="00E22D78" w:rsidRPr="00084F6E">
              <w:rPr>
                <w:rStyle w:val="Hyperlink"/>
                <w:noProof/>
              </w:rPr>
              <w:t>.1 Policy Overview</w:t>
            </w:r>
            <w:r w:rsidR="00E22D78">
              <w:rPr>
                <w:noProof/>
                <w:webHidden/>
              </w:rPr>
              <w:tab/>
            </w:r>
            <w:r w:rsidR="00E22D78">
              <w:rPr>
                <w:noProof/>
                <w:webHidden/>
              </w:rPr>
              <w:fldChar w:fldCharType="begin"/>
            </w:r>
            <w:r w:rsidR="00E22D78">
              <w:rPr>
                <w:noProof/>
                <w:webHidden/>
              </w:rPr>
              <w:instrText xml:space="preserve"> PAGEREF _Toc135910057 \h </w:instrText>
            </w:r>
            <w:r w:rsidR="00E22D78">
              <w:rPr>
                <w:noProof/>
                <w:webHidden/>
              </w:rPr>
            </w:r>
            <w:r w:rsidR="00E22D78">
              <w:rPr>
                <w:noProof/>
                <w:webHidden/>
              </w:rPr>
              <w:fldChar w:fldCharType="separate"/>
            </w:r>
            <w:r w:rsidR="00E22D78">
              <w:rPr>
                <w:noProof/>
                <w:webHidden/>
              </w:rPr>
              <w:t>4</w:t>
            </w:r>
            <w:r w:rsidR="00E22D78">
              <w:rPr>
                <w:noProof/>
                <w:webHidden/>
              </w:rPr>
              <w:fldChar w:fldCharType="end"/>
            </w:r>
          </w:hyperlink>
        </w:p>
        <w:p w14:paraId="7657D93A" w14:textId="2D7C3388" w:rsidR="00E22D78" w:rsidRDefault="009E5743">
          <w:pPr>
            <w:pStyle w:val="TOC2"/>
            <w:tabs>
              <w:tab w:val="right" w:leader="dot" w:pos="8296"/>
            </w:tabs>
            <w:rPr>
              <w:rFonts w:asciiTheme="minorHAnsi" w:eastAsiaTheme="minorEastAsia" w:hAnsiTheme="minorHAnsi"/>
              <w:noProof/>
              <w:color w:val="auto"/>
              <w:sz w:val="22"/>
              <w:szCs w:val="22"/>
              <w:lang w:val="en-GB" w:eastAsia="en-GB"/>
            </w:rPr>
          </w:pPr>
          <w:hyperlink w:anchor="_Toc135910058" w:history="1">
            <w:r w:rsidR="00E22D78" w:rsidRPr="00084F6E">
              <w:rPr>
                <w:rStyle w:val="Hyperlink"/>
                <w:noProof/>
              </w:rPr>
              <w:t>6.2 Policy Details</w:t>
            </w:r>
            <w:r w:rsidR="00E22D78">
              <w:rPr>
                <w:noProof/>
                <w:webHidden/>
              </w:rPr>
              <w:tab/>
            </w:r>
            <w:r w:rsidR="00E22D78">
              <w:rPr>
                <w:noProof/>
                <w:webHidden/>
              </w:rPr>
              <w:fldChar w:fldCharType="begin"/>
            </w:r>
            <w:r w:rsidR="00E22D78">
              <w:rPr>
                <w:noProof/>
                <w:webHidden/>
              </w:rPr>
              <w:instrText xml:space="preserve"> PAGEREF _Toc135910058 \h </w:instrText>
            </w:r>
            <w:r w:rsidR="00E22D78">
              <w:rPr>
                <w:noProof/>
                <w:webHidden/>
              </w:rPr>
            </w:r>
            <w:r w:rsidR="00E22D78">
              <w:rPr>
                <w:noProof/>
                <w:webHidden/>
              </w:rPr>
              <w:fldChar w:fldCharType="separate"/>
            </w:r>
            <w:r w:rsidR="00E22D78">
              <w:rPr>
                <w:noProof/>
                <w:webHidden/>
              </w:rPr>
              <w:t>4</w:t>
            </w:r>
            <w:r w:rsidR="00E22D78">
              <w:rPr>
                <w:noProof/>
                <w:webHidden/>
              </w:rPr>
              <w:fldChar w:fldCharType="end"/>
            </w:r>
          </w:hyperlink>
        </w:p>
        <w:p w14:paraId="23357C89" w14:textId="5111449E" w:rsidR="00E22D78" w:rsidRDefault="009E5743">
          <w:pPr>
            <w:pStyle w:val="TOC2"/>
            <w:tabs>
              <w:tab w:val="right" w:leader="dot" w:pos="8296"/>
            </w:tabs>
            <w:rPr>
              <w:rFonts w:asciiTheme="minorHAnsi" w:eastAsiaTheme="minorEastAsia" w:hAnsiTheme="minorHAnsi"/>
              <w:noProof/>
              <w:color w:val="auto"/>
              <w:sz w:val="22"/>
              <w:szCs w:val="22"/>
              <w:lang w:val="en-GB" w:eastAsia="en-GB"/>
            </w:rPr>
          </w:pPr>
          <w:hyperlink w:anchor="_Toc135910059" w:history="1">
            <w:r w:rsidR="00E22D78" w:rsidRPr="00084F6E">
              <w:rPr>
                <w:rStyle w:val="Hyperlink"/>
                <w:noProof/>
              </w:rPr>
              <w:t>6.3 Approval process</w:t>
            </w:r>
            <w:r w:rsidR="00E22D78">
              <w:rPr>
                <w:noProof/>
                <w:webHidden/>
              </w:rPr>
              <w:tab/>
            </w:r>
            <w:r w:rsidR="00E22D78">
              <w:rPr>
                <w:noProof/>
                <w:webHidden/>
              </w:rPr>
              <w:fldChar w:fldCharType="begin"/>
            </w:r>
            <w:r w:rsidR="00E22D78">
              <w:rPr>
                <w:noProof/>
                <w:webHidden/>
              </w:rPr>
              <w:instrText xml:space="preserve"> PAGEREF _Toc135910059 \h </w:instrText>
            </w:r>
            <w:r w:rsidR="00E22D78">
              <w:rPr>
                <w:noProof/>
                <w:webHidden/>
              </w:rPr>
            </w:r>
            <w:r w:rsidR="00E22D78">
              <w:rPr>
                <w:noProof/>
                <w:webHidden/>
              </w:rPr>
              <w:fldChar w:fldCharType="separate"/>
            </w:r>
            <w:r w:rsidR="00E22D78">
              <w:rPr>
                <w:noProof/>
                <w:webHidden/>
              </w:rPr>
              <w:t>5</w:t>
            </w:r>
            <w:r w:rsidR="00E22D78">
              <w:rPr>
                <w:noProof/>
                <w:webHidden/>
              </w:rPr>
              <w:fldChar w:fldCharType="end"/>
            </w:r>
          </w:hyperlink>
        </w:p>
        <w:p w14:paraId="55F74DFD" w14:textId="0CA66ED8" w:rsidR="00E22D78" w:rsidRDefault="009E5743">
          <w:pPr>
            <w:pStyle w:val="TOC2"/>
            <w:tabs>
              <w:tab w:val="right" w:leader="dot" w:pos="8296"/>
            </w:tabs>
            <w:rPr>
              <w:rFonts w:asciiTheme="minorHAnsi" w:eastAsiaTheme="minorEastAsia" w:hAnsiTheme="minorHAnsi"/>
              <w:noProof/>
              <w:color w:val="auto"/>
              <w:sz w:val="22"/>
              <w:szCs w:val="22"/>
              <w:lang w:val="en-GB" w:eastAsia="en-GB"/>
            </w:rPr>
          </w:pPr>
          <w:hyperlink w:anchor="_Toc135910060" w:history="1">
            <w:r w:rsidR="00E22D78" w:rsidRPr="00084F6E">
              <w:rPr>
                <w:rStyle w:val="Hyperlink"/>
                <w:noProof/>
              </w:rPr>
              <w:t>6.4 Change Process</w:t>
            </w:r>
            <w:r w:rsidR="00E22D78">
              <w:rPr>
                <w:noProof/>
                <w:webHidden/>
              </w:rPr>
              <w:tab/>
            </w:r>
            <w:r w:rsidR="00E22D78">
              <w:rPr>
                <w:noProof/>
                <w:webHidden/>
              </w:rPr>
              <w:fldChar w:fldCharType="begin"/>
            </w:r>
            <w:r w:rsidR="00E22D78">
              <w:rPr>
                <w:noProof/>
                <w:webHidden/>
              </w:rPr>
              <w:instrText xml:space="preserve"> PAGEREF _Toc135910060 \h </w:instrText>
            </w:r>
            <w:r w:rsidR="00E22D78">
              <w:rPr>
                <w:noProof/>
                <w:webHidden/>
              </w:rPr>
            </w:r>
            <w:r w:rsidR="00E22D78">
              <w:rPr>
                <w:noProof/>
                <w:webHidden/>
              </w:rPr>
              <w:fldChar w:fldCharType="separate"/>
            </w:r>
            <w:r w:rsidR="00E22D78">
              <w:rPr>
                <w:noProof/>
                <w:webHidden/>
              </w:rPr>
              <w:t>5</w:t>
            </w:r>
            <w:r w:rsidR="00E22D78">
              <w:rPr>
                <w:noProof/>
                <w:webHidden/>
              </w:rPr>
              <w:fldChar w:fldCharType="end"/>
            </w:r>
          </w:hyperlink>
        </w:p>
        <w:p w14:paraId="0B77C1EC" w14:textId="590CA6E7" w:rsidR="00E22D78" w:rsidRDefault="009E5743">
          <w:pPr>
            <w:pStyle w:val="TOC1"/>
            <w:tabs>
              <w:tab w:val="left" w:pos="480"/>
              <w:tab w:val="right" w:leader="dot" w:pos="8296"/>
            </w:tabs>
            <w:rPr>
              <w:rFonts w:asciiTheme="minorHAnsi" w:eastAsiaTheme="minorEastAsia" w:hAnsiTheme="minorHAnsi"/>
              <w:noProof/>
              <w:color w:val="auto"/>
              <w:sz w:val="22"/>
              <w:szCs w:val="22"/>
              <w:lang w:val="en-GB" w:eastAsia="en-GB"/>
            </w:rPr>
          </w:pPr>
          <w:hyperlink w:anchor="_Toc135910061" w:history="1">
            <w:r w:rsidR="00E22D78" w:rsidRPr="00084F6E">
              <w:rPr>
                <w:rStyle w:val="Hyperlink"/>
                <w:noProof/>
              </w:rPr>
              <w:t>7.</w:t>
            </w:r>
            <w:r w:rsidR="00E22D78">
              <w:rPr>
                <w:rFonts w:asciiTheme="minorHAnsi" w:eastAsiaTheme="minorEastAsia" w:hAnsiTheme="minorHAnsi"/>
                <w:noProof/>
                <w:color w:val="auto"/>
                <w:sz w:val="22"/>
                <w:szCs w:val="22"/>
                <w:lang w:val="en-GB" w:eastAsia="en-GB"/>
              </w:rPr>
              <w:tab/>
            </w:r>
            <w:r w:rsidR="00E22D78" w:rsidRPr="00084F6E">
              <w:rPr>
                <w:rStyle w:val="Hyperlink"/>
                <w:noProof/>
              </w:rPr>
              <w:t>Related Documents</w:t>
            </w:r>
            <w:r w:rsidR="00E22D78">
              <w:rPr>
                <w:noProof/>
                <w:webHidden/>
              </w:rPr>
              <w:tab/>
            </w:r>
            <w:r w:rsidR="00E22D78">
              <w:rPr>
                <w:noProof/>
                <w:webHidden/>
              </w:rPr>
              <w:fldChar w:fldCharType="begin"/>
            </w:r>
            <w:r w:rsidR="00E22D78">
              <w:rPr>
                <w:noProof/>
                <w:webHidden/>
              </w:rPr>
              <w:instrText xml:space="preserve"> PAGEREF _Toc135910061 \h </w:instrText>
            </w:r>
            <w:r w:rsidR="00E22D78">
              <w:rPr>
                <w:noProof/>
                <w:webHidden/>
              </w:rPr>
            </w:r>
            <w:r w:rsidR="00E22D78">
              <w:rPr>
                <w:noProof/>
                <w:webHidden/>
              </w:rPr>
              <w:fldChar w:fldCharType="separate"/>
            </w:r>
            <w:r w:rsidR="00E22D78">
              <w:rPr>
                <w:noProof/>
                <w:webHidden/>
              </w:rPr>
              <w:t>5</w:t>
            </w:r>
            <w:r w:rsidR="00E22D78">
              <w:rPr>
                <w:noProof/>
                <w:webHidden/>
              </w:rPr>
              <w:fldChar w:fldCharType="end"/>
            </w:r>
          </w:hyperlink>
        </w:p>
        <w:p w14:paraId="0C573A80" w14:textId="65600194" w:rsidR="00E22D78" w:rsidRDefault="009E5743">
          <w:pPr>
            <w:pStyle w:val="TOC1"/>
            <w:tabs>
              <w:tab w:val="left" w:pos="480"/>
              <w:tab w:val="right" w:leader="dot" w:pos="8296"/>
            </w:tabs>
            <w:rPr>
              <w:rFonts w:asciiTheme="minorHAnsi" w:eastAsiaTheme="minorEastAsia" w:hAnsiTheme="minorHAnsi"/>
              <w:noProof/>
              <w:color w:val="auto"/>
              <w:sz w:val="22"/>
              <w:szCs w:val="22"/>
              <w:lang w:val="en-GB" w:eastAsia="en-GB"/>
            </w:rPr>
          </w:pPr>
          <w:hyperlink w:anchor="_Toc135910062" w:history="1">
            <w:r w:rsidR="00E22D78" w:rsidRPr="00084F6E">
              <w:rPr>
                <w:rStyle w:val="Hyperlink"/>
                <w:noProof/>
                <w:lang w:val="ga-IE"/>
              </w:rPr>
              <w:t>8.</w:t>
            </w:r>
            <w:r w:rsidR="00E22D78">
              <w:rPr>
                <w:rFonts w:asciiTheme="minorHAnsi" w:eastAsiaTheme="minorEastAsia" w:hAnsiTheme="minorHAnsi"/>
                <w:noProof/>
                <w:color w:val="auto"/>
                <w:sz w:val="22"/>
                <w:szCs w:val="22"/>
                <w:lang w:val="en-GB" w:eastAsia="en-GB"/>
              </w:rPr>
              <w:tab/>
            </w:r>
            <w:r w:rsidR="00E22D78" w:rsidRPr="00084F6E">
              <w:rPr>
                <w:rStyle w:val="Hyperlink"/>
                <w:noProof/>
                <w:lang w:val="ga-IE"/>
              </w:rPr>
              <w:t>Document Management</w:t>
            </w:r>
            <w:r w:rsidR="00E22D78">
              <w:rPr>
                <w:noProof/>
                <w:webHidden/>
              </w:rPr>
              <w:tab/>
            </w:r>
            <w:r w:rsidR="00E22D78">
              <w:rPr>
                <w:noProof/>
                <w:webHidden/>
              </w:rPr>
              <w:fldChar w:fldCharType="begin"/>
            </w:r>
            <w:r w:rsidR="00E22D78">
              <w:rPr>
                <w:noProof/>
                <w:webHidden/>
              </w:rPr>
              <w:instrText xml:space="preserve"> PAGEREF _Toc135910062 \h </w:instrText>
            </w:r>
            <w:r w:rsidR="00E22D78">
              <w:rPr>
                <w:noProof/>
                <w:webHidden/>
              </w:rPr>
            </w:r>
            <w:r w:rsidR="00E22D78">
              <w:rPr>
                <w:noProof/>
                <w:webHidden/>
              </w:rPr>
              <w:fldChar w:fldCharType="separate"/>
            </w:r>
            <w:r w:rsidR="00E22D78">
              <w:rPr>
                <w:noProof/>
                <w:webHidden/>
              </w:rPr>
              <w:t>5</w:t>
            </w:r>
            <w:r w:rsidR="00E22D78">
              <w:rPr>
                <w:noProof/>
                <w:webHidden/>
              </w:rPr>
              <w:fldChar w:fldCharType="end"/>
            </w:r>
          </w:hyperlink>
        </w:p>
        <w:p w14:paraId="096C0A15" w14:textId="77956986" w:rsidR="00E22D78" w:rsidRDefault="009E5743">
          <w:pPr>
            <w:pStyle w:val="TOC2"/>
            <w:tabs>
              <w:tab w:val="right" w:leader="dot" w:pos="8296"/>
            </w:tabs>
            <w:rPr>
              <w:rFonts w:asciiTheme="minorHAnsi" w:eastAsiaTheme="minorEastAsia" w:hAnsiTheme="minorHAnsi"/>
              <w:noProof/>
              <w:color w:val="auto"/>
              <w:sz w:val="22"/>
              <w:szCs w:val="22"/>
              <w:lang w:val="en-GB" w:eastAsia="en-GB"/>
            </w:rPr>
          </w:pPr>
          <w:hyperlink w:anchor="_Toc135910063" w:history="1">
            <w:r w:rsidR="00E22D78" w:rsidRPr="00084F6E">
              <w:rPr>
                <w:rStyle w:val="Hyperlink"/>
                <w:noProof/>
              </w:rPr>
              <w:t>9.1 Version Control</w:t>
            </w:r>
            <w:r w:rsidR="00E22D78">
              <w:rPr>
                <w:noProof/>
                <w:webHidden/>
              </w:rPr>
              <w:tab/>
            </w:r>
            <w:r w:rsidR="00E22D78">
              <w:rPr>
                <w:noProof/>
                <w:webHidden/>
              </w:rPr>
              <w:fldChar w:fldCharType="begin"/>
            </w:r>
            <w:r w:rsidR="00E22D78">
              <w:rPr>
                <w:noProof/>
                <w:webHidden/>
              </w:rPr>
              <w:instrText xml:space="preserve"> PAGEREF _Toc135910063 \h </w:instrText>
            </w:r>
            <w:r w:rsidR="00E22D78">
              <w:rPr>
                <w:noProof/>
                <w:webHidden/>
              </w:rPr>
            </w:r>
            <w:r w:rsidR="00E22D78">
              <w:rPr>
                <w:noProof/>
                <w:webHidden/>
              </w:rPr>
              <w:fldChar w:fldCharType="separate"/>
            </w:r>
            <w:r w:rsidR="00E22D78">
              <w:rPr>
                <w:noProof/>
                <w:webHidden/>
              </w:rPr>
              <w:t>5</w:t>
            </w:r>
            <w:r w:rsidR="00E22D78">
              <w:rPr>
                <w:noProof/>
                <w:webHidden/>
              </w:rPr>
              <w:fldChar w:fldCharType="end"/>
            </w:r>
          </w:hyperlink>
        </w:p>
        <w:p w14:paraId="10CB8958" w14:textId="52BCEA94" w:rsidR="00E22D78" w:rsidRDefault="009E5743">
          <w:pPr>
            <w:pStyle w:val="TOC2"/>
            <w:tabs>
              <w:tab w:val="right" w:leader="dot" w:pos="8296"/>
            </w:tabs>
            <w:rPr>
              <w:rFonts w:asciiTheme="minorHAnsi" w:eastAsiaTheme="minorEastAsia" w:hAnsiTheme="minorHAnsi"/>
              <w:noProof/>
              <w:color w:val="auto"/>
              <w:sz w:val="22"/>
              <w:szCs w:val="22"/>
              <w:lang w:val="en-GB" w:eastAsia="en-GB"/>
            </w:rPr>
          </w:pPr>
          <w:hyperlink w:anchor="_Toc135910064" w:history="1">
            <w:r w:rsidR="00E22D78" w:rsidRPr="00084F6E">
              <w:rPr>
                <w:rStyle w:val="Hyperlink"/>
                <w:noProof/>
              </w:rPr>
              <w:t>9.2 Document Approval</w:t>
            </w:r>
            <w:r w:rsidR="00E22D78">
              <w:rPr>
                <w:noProof/>
                <w:webHidden/>
              </w:rPr>
              <w:tab/>
            </w:r>
            <w:r w:rsidR="00E22D78">
              <w:rPr>
                <w:noProof/>
                <w:webHidden/>
              </w:rPr>
              <w:fldChar w:fldCharType="begin"/>
            </w:r>
            <w:r w:rsidR="00E22D78">
              <w:rPr>
                <w:noProof/>
                <w:webHidden/>
              </w:rPr>
              <w:instrText xml:space="preserve"> PAGEREF _Toc135910064 \h </w:instrText>
            </w:r>
            <w:r w:rsidR="00E22D78">
              <w:rPr>
                <w:noProof/>
                <w:webHidden/>
              </w:rPr>
            </w:r>
            <w:r w:rsidR="00E22D78">
              <w:rPr>
                <w:noProof/>
                <w:webHidden/>
              </w:rPr>
              <w:fldChar w:fldCharType="separate"/>
            </w:r>
            <w:r w:rsidR="00E22D78">
              <w:rPr>
                <w:noProof/>
                <w:webHidden/>
              </w:rPr>
              <w:t>6</w:t>
            </w:r>
            <w:r w:rsidR="00E22D78">
              <w:rPr>
                <w:noProof/>
                <w:webHidden/>
              </w:rPr>
              <w:fldChar w:fldCharType="end"/>
            </w:r>
          </w:hyperlink>
        </w:p>
        <w:p w14:paraId="6B60B3E8" w14:textId="6A387C00" w:rsidR="00E22D78" w:rsidRDefault="009E5743">
          <w:pPr>
            <w:pStyle w:val="TOC2"/>
            <w:tabs>
              <w:tab w:val="right" w:leader="dot" w:pos="8296"/>
            </w:tabs>
            <w:rPr>
              <w:rFonts w:asciiTheme="minorHAnsi" w:eastAsiaTheme="minorEastAsia" w:hAnsiTheme="minorHAnsi"/>
              <w:noProof/>
              <w:color w:val="auto"/>
              <w:sz w:val="22"/>
              <w:szCs w:val="22"/>
              <w:lang w:val="en-GB" w:eastAsia="en-GB"/>
            </w:rPr>
          </w:pPr>
          <w:hyperlink w:anchor="_Toc135910065" w:history="1">
            <w:r w:rsidR="00E22D78" w:rsidRPr="00084F6E">
              <w:rPr>
                <w:rStyle w:val="Hyperlink"/>
                <w:noProof/>
              </w:rPr>
              <w:t>9.3 Document Ownership</w:t>
            </w:r>
            <w:r w:rsidR="00E22D78">
              <w:rPr>
                <w:noProof/>
                <w:webHidden/>
              </w:rPr>
              <w:tab/>
            </w:r>
            <w:r w:rsidR="00E22D78">
              <w:rPr>
                <w:noProof/>
                <w:webHidden/>
              </w:rPr>
              <w:fldChar w:fldCharType="begin"/>
            </w:r>
            <w:r w:rsidR="00E22D78">
              <w:rPr>
                <w:noProof/>
                <w:webHidden/>
              </w:rPr>
              <w:instrText xml:space="preserve"> PAGEREF _Toc135910065 \h </w:instrText>
            </w:r>
            <w:r w:rsidR="00E22D78">
              <w:rPr>
                <w:noProof/>
                <w:webHidden/>
              </w:rPr>
            </w:r>
            <w:r w:rsidR="00E22D78">
              <w:rPr>
                <w:noProof/>
                <w:webHidden/>
              </w:rPr>
              <w:fldChar w:fldCharType="separate"/>
            </w:r>
            <w:r w:rsidR="00E22D78">
              <w:rPr>
                <w:noProof/>
                <w:webHidden/>
              </w:rPr>
              <w:t>6</w:t>
            </w:r>
            <w:r w:rsidR="00E22D78">
              <w:rPr>
                <w:noProof/>
                <w:webHidden/>
              </w:rPr>
              <w:fldChar w:fldCharType="end"/>
            </w:r>
          </w:hyperlink>
        </w:p>
        <w:p w14:paraId="77E2BB4C" w14:textId="506AEBE3" w:rsidR="00E22D78" w:rsidRDefault="009E5743">
          <w:pPr>
            <w:pStyle w:val="TOC2"/>
            <w:tabs>
              <w:tab w:val="right" w:leader="dot" w:pos="8296"/>
            </w:tabs>
            <w:rPr>
              <w:rFonts w:asciiTheme="minorHAnsi" w:eastAsiaTheme="minorEastAsia" w:hAnsiTheme="minorHAnsi"/>
              <w:noProof/>
              <w:color w:val="auto"/>
              <w:sz w:val="22"/>
              <w:szCs w:val="22"/>
              <w:lang w:val="en-GB" w:eastAsia="en-GB"/>
            </w:rPr>
          </w:pPr>
          <w:hyperlink w:anchor="_Toc135910066" w:history="1">
            <w:r w:rsidR="00E22D78" w:rsidRPr="00084F6E">
              <w:rPr>
                <w:rStyle w:val="Hyperlink"/>
                <w:noProof/>
              </w:rPr>
              <w:t>9.4 Document Review</w:t>
            </w:r>
            <w:r w:rsidR="00E22D78">
              <w:rPr>
                <w:noProof/>
                <w:webHidden/>
              </w:rPr>
              <w:tab/>
            </w:r>
            <w:r w:rsidR="00E22D78">
              <w:rPr>
                <w:noProof/>
                <w:webHidden/>
              </w:rPr>
              <w:fldChar w:fldCharType="begin"/>
            </w:r>
            <w:r w:rsidR="00E22D78">
              <w:rPr>
                <w:noProof/>
                <w:webHidden/>
              </w:rPr>
              <w:instrText xml:space="preserve"> PAGEREF _Toc135910066 \h </w:instrText>
            </w:r>
            <w:r w:rsidR="00E22D78">
              <w:rPr>
                <w:noProof/>
                <w:webHidden/>
              </w:rPr>
            </w:r>
            <w:r w:rsidR="00E22D78">
              <w:rPr>
                <w:noProof/>
                <w:webHidden/>
              </w:rPr>
              <w:fldChar w:fldCharType="separate"/>
            </w:r>
            <w:r w:rsidR="00E22D78">
              <w:rPr>
                <w:noProof/>
                <w:webHidden/>
              </w:rPr>
              <w:t>6</w:t>
            </w:r>
            <w:r w:rsidR="00E22D78">
              <w:rPr>
                <w:noProof/>
                <w:webHidden/>
              </w:rPr>
              <w:fldChar w:fldCharType="end"/>
            </w:r>
          </w:hyperlink>
        </w:p>
        <w:p w14:paraId="503841BA" w14:textId="7722E5C2" w:rsidR="00E22D78" w:rsidRDefault="009E5743">
          <w:pPr>
            <w:pStyle w:val="TOC2"/>
            <w:tabs>
              <w:tab w:val="right" w:leader="dot" w:pos="8296"/>
            </w:tabs>
            <w:rPr>
              <w:rFonts w:asciiTheme="minorHAnsi" w:eastAsiaTheme="minorEastAsia" w:hAnsiTheme="minorHAnsi"/>
              <w:noProof/>
              <w:color w:val="auto"/>
              <w:sz w:val="22"/>
              <w:szCs w:val="22"/>
              <w:lang w:val="en-GB" w:eastAsia="en-GB"/>
            </w:rPr>
          </w:pPr>
          <w:hyperlink w:anchor="_Toc135910067" w:history="1">
            <w:r w:rsidR="00E22D78" w:rsidRPr="00084F6E">
              <w:rPr>
                <w:rStyle w:val="Hyperlink"/>
                <w:noProof/>
              </w:rPr>
              <w:t>9.5 Document Storage</w:t>
            </w:r>
            <w:r w:rsidR="00E22D78">
              <w:rPr>
                <w:noProof/>
                <w:webHidden/>
              </w:rPr>
              <w:tab/>
            </w:r>
            <w:r w:rsidR="00E22D78">
              <w:rPr>
                <w:noProof/>
                <w:webHidden/>
              </w:rPr>
              <w:fldChar w:fldCharType="begin"/>
            </w:r>
            <w:r w:rsidR="00E22D78">
              <w:rPr>
                <w:noProof/>
                <w:webHidden/>
              </w:rPr>
              <w:instrText xml:space="preserve"> PAGEREF _Toc135910067 \h </w:instrText>
            </w:r>
            <w:r w:rsidR="00E22D78">
              <w:rPr>
                <w:noProof/>
                <w:webHidden/>
              </w:rPr>
            </w:r>
            <w:r w:rsidR="00E22D78">
              <w:rPr>
                <w:noProof/>
                <w:webHidden/>
              </w:rPr>
              <w:fldChar w:fldCharType="separate"/>
            </w:r>
            <w:r w:rsidR="00E22D78">
              <w:rPr>
                <w:noProof/>
                <w:webHidden/>
              </w:rPr>
              <w:t>6</w:t>
            </w:r>
            <w:r w:rsidR="00E22D78">
              <w:rPr>
                <w:noProof/>
                <w:webHidden/>
              </w:rPr>
              <w:fldChar w:fldCharType="end"/>
            </w:r>
          </w:hyperlink>
        </w:p>
        <w:p w14:paraId="193E64CC" w14:textId="7E6A15BD" w:rsidR="00E22D78" w:rsidRDefault="009E5743">
          <w:pPr>
            <w:pStyle w:val="TOC2"/>
            <w:tabs>
              <w:tab w:val="right" w:leader="dot" w:pos="8296"/>
            </w:tabs>
            <w:rPr>
              <w:rFonts w:asciiTheme="minorHAnsi" w:eastAsiaTheme="minorEastAsia" w:hAnsiTheme="minorHAnsi"/>
              <w:noProof/>
              <w:color w:val="auto"/>
              <w:sz w:val="22"/>
              <w:szCs w:val="22"/>
              <w:lang w:val="en-GB" w:eastAsia="en-GB"/>
            </w:rPr>
          </w:pPr>
          <w:hyperlink w:anchor="_Toc135910068" w:history="1">
            <w:r w:rsidR="00E22D78" w:rsidRPr="00084F6E">
              <w:rPr>
                <w:rStyle w:val="Hyperlink"/>
                <w:noProof/>
              </w:rPr>
              <w:t>9.6 Document Classification</w:t>
            </w:r>
            <w:r w:rsidR="00E22D78">
              <w:rPr>
                <w:noProof/>
                <w:webHidden/>
              </w:rPr>
              <w:tab/>
            </w:r>
            <w:r w:rsidR="00E22D78">
              <w:rPr>
                <w:noProof/>
                <w:webHidden/>
              </w:rPr>
              <w:fldChar w:fldCharType="begin"/>
            </w:r>
            <w:r w:rsidR="00E22D78">
              <w:rPr>
                <w:noProof/>
                <w:webHidden/>
              </w:rPr>
              <w:instrText xml:space="preserve"> PAGEREF _Toc135910068 \h </w:instrText>
            </w:r>
            <w:r w:rsidR="00E22D78">
              <w:rPr>
                <w:noProof/>
                <w:webHidden/>
              </w:rPr>
            </w:r>
            <w:r w:rsidR="00E22D78">
              <w:rPr>
                <w:noProof/>
                <w:webHidden/>
              </w:rPr>
              <w:fldChar w:fldCharType="separate"/>
            </w:r>
            <w:r w:rsidR="00E22D78">
              <w:rPr>
                <w:noProof/>
                <w:webHidden/>
              </w:rPr>
              <w:t>6</w:t>
            </w:r>
            <w:r w:rsidR="00E22D78">
              <w:rPr>
                <w:noProof/>
                <w:webHidden/>
              </w:rPr>
              <w:fldChar w:fldCharType="end"/>
            </w:r>
          </w:hyperlink>
        </w:p>
        <w:p w14:paraId="4011EDEF" w14:textId="3E5C47CD" w:rsidR="002B6778" w:rsidRDefault="002B6778">
          <w:r>
            <w:rPr>
              <w:b/>
              <w:bCs/>
              <w:noProof/>
            </w:rPr>
            <w:fldChar w:fldCharType="end"/>
          </w:r>
        </w:p>
      </w:sdtContent>
    </w:sdt>
    <w:p w14:paraId="0AE1B535" w14:textId="77777777" w:rsidR="002E7C35" w:rsidRDefault="002E7C35" w:rsidP="00C15C46">
      <w:pPr>
        <w:pStyle w:val="Heading1"/>
        <w:numPr>
          <w:ilvl w:val="0"/>
          <w:numId w:val="0"/>
        </w:numPr>
        <w:ind w:left="720"/>
      </w:pPr>
      <w:bookmarkStart w:id="2" w:name="_Toc66112546"/>
    </w:p>
    <w:p w14:paraId="0FF15B65" w14:textId="77777777" w:rsidR="00B32717" w:rsidRPr="00B32717" w:rsidRDefault="00B32717" w:rsidP="00B32717"/>
    <w:p w14:paraId="394BDA74" w14:textId="77777777" w:rsidR="00E15665" w:rsidRDefault="00E15665" w:rsidP="000D2694">
      <w:pPr>
        <w:pStyle w:val="Heading1"/>
      </w:pPr>
      <w:bookmarkStart w:id="3" w:name="_Toc135910051"/>
      <w:r w:rsidRPr="001B3237">
        <w:t xml:space="preserve">Document </w:t>
      </w:r>
      <w:r w:rsidR="00DC35A8" w:rsidRPr="001B3237">
        <w:t>Control Summary</w:t>
      </w:r>
      <w:bookmarkEnd w:id="2"/>
      <w:bookmarkEnd w:id="3"/>
    </w:p>
    <w:tbl>
      <w:tblPr>
        <w:tblStyle w:val="TableGrid"/>
        <w:tblW w:w="0" w:type="auto"/>
        <w:tblLook w:val="04A0" w:firstRow="1" w:lastRow="0" w:firstColumn="1" w:lastColumn="0" w:noHBand="0" w:noVBand="1"/>
      </w:tblPr>
      <w:tblGrid>
        <w:gridCol w:w="4148"/>
        <w:gridCol w:w="4148"/>
      </w:tblGrid>
      <w:tr w:rsidR="00DC35A8" w14:paraId="4E828072" w14:textId="77777777" w:rsidTr="00CD5942">
        <w:tc>
          <w:tcPr>
            <w:tcW w:w="4148" w:type="dxa"/>
            <w:shd w:val="clear" w:color="auto" w:fill="C6D9F1" w:themeFill="text2" w:themeFillTint="33"/>
          </w:tcPr>
          <w:p w14:paraId="2E0866CA" w14:textId="77777777" w:rsidR="00DC35A8" w:rsidRPr="00EB034E" w:rsidRDefault="00DC35A8" w:rsidP="00DC35A8">
            <w:pPr>
              <w:jc w:val="center"/>
              <w:rPr>
                <w:b/>
                <w:lang w:val="ga-IE"/>
              </w:rPr>
            </w:pPr>
            <w:r>
              <w:rPr>
                <w:b/>
                <w:lang w:val="ga-IE"/>
              </w:rPr>
              <w:t>Area</w:t>
            </w:r>
          </w:p>
        </w:tc>
        <w:tc>
          <w:tcPr>
            <w:tcW w:w="4148" w:type="dxa"/>
            <w:shd w:val="clear" w:color="auto" w:fill="C6D9F1" w:themeFill="text2" w:themeFillTint="33"/>
          </w:tcPr>
          <w:p w14:paraId="135C1446" w14:textId="77777777" w:rsidR="00DC35A8" w:rsidRPr="00EB034E" w:rsidRDefault="00D02A82" w:rsidP="00D02A82">
            <w:pPr>
              <w:jc w:val="center"/>
              <w:rPr>
                <w:b/>
                <w:lang w:val="ga-IE"/>
              </w:rPr>
            </w:pPr>
            <w:r>
              <w:rPr>
                <w:b/>
                <w:lang w:val="ga-IE"/>
              </w:rPr>
              <w:t>Document Information</w:t>
            </w:r>
          </w:p>
        </w:tc>
      </w:tr>
      <w:tr w:rsidR="00DC35A8" w14:paraId="012F0370" w14:textId="77777777" w:rsidTr="00CD5942">
        <w:tc>
          <w:tcPr>
            <w:tcW w:w="4148" w:type="dxa"/>
          </w:tcPr>
          <w:p w14:paraId="7F866609" w14:textId="77777777" w:rsidR="00DC35A8" w:rsidRPr="00FE4A91" w:rsidRDefault="00DC35A8" w:rsidP="00CD5942">
            <w:pPr>
              <w:rPr>
                <w:rFonts w:cs="Arial"/>
                <w:szCs w:val="20"/>
                <w:lang w:val="ga-IE"/>
              </w:rPr>
            </w:pPr>
            <w:r w:rsidRPr="00FE4A91">
              <w:rPr>
                <w:rFonts w:cs="Arial"/>
                <w:szCs w:val="20"/>
                <w:lang w:val="ga-IE"/>
              </w:rPr>
              <w:t>Author</w:t>
            </w:r>
          </w:p>
        </w:tc>
        <w:tc>
          <w:tcPr>
            <w:tcW w:w="4148" w:type="dxa"/>
          </w:tcPr>
          <w:p w14:paraId="62055231" w14:textId="77777777" w:rsidR="00DC35A8" w:rsidRPr="00FE4A91" w:rsidRDefault="008C2017" w:rsidP="00CD5942">
            <w:pPr>
              <w:rPr>
                <w:rFonts w:cs="Arial"/>
                <w:szCs w:val="20"/>
                <w:lang w:val="ga-IE"/>
              </w:rPr>
            </w:pPr>
            <w:r>
              <w:rPr>
                <w:rFonts w:cs="Arial"/>
                <w:szCs w:val="20"/>
                <w:lang w:val="ga-IE"/>
              </w:rPr>
              <w:t>SHW Senior Manager</w:t>
            </w:r>
          </w:p>
        </w:tc>
      </w:tr>
      <w:tr w:rsidR="00DC35A8" w14:paraId="7FDCE662" w14:textId="77777777" w:rsidTr="00CD5942">
        <w:tc>
          <w:tcPr>
            <w:tcW w:w="4148" w:type="dxa"/>
          </w:tcPr>
          <w:p w14:paraId="03A386CE" w14:textId="77777777" w:rsidR="00DC35A8" w:rsidRPr="00FE4A91" w:rsidRDefault="00DC35A8" w:rsidP="00CD5942">
            <w:pPr>
              <w:rPr>
                <w:rFonts w:cs="Arial"/>
                <w:szCs w:val="20"/>
                <w:lang w:val="ga-IE"/>
              </w:rPr>
            </w:pPr>
            <w:r w:rsidRPr="00FE4A91">
              <w:rPr>
                <w:rFonts w:cs="Arial"/>
                <w:szCs w:val="20"/>
                <w:lang w:val="ga-IE"/>
              </w:rPr>
              <w:t>Owner</w:t>
            </w:r>
          </w:p>
        </w:tc>
        <w:tc>
          <w:tcPr>
            <w:tcW w:w="4148" w:type="dxa"/>
          </w:tcPr>
          <w:p w14:paraId="33773945" w14:textId="77777777" w:rsidR="00DC35A8" w:rsidRPr="00FE4A91" w:rsidRDefault="008C2017" w:rsidP="00F71259">
            <w:pPr>
              <w:rPr>
                <w:rFonts w:cs="Arial"/>
                <w:szCs w:val="20"/>
                <w:lang w:val="ga-IE"/>
              </w:rPr>
            </w:pPr>
            <w:r>
              <w:rPr>
                <w:rFonts w:cs="Arial"/>
                <w:szCs w:val="20"/>
                <w:lang w:val="ga-IE"/>
              </w:rPr>
              <w:t>Head of Governance and Compliance</w:t>
            </w:r>
          </w:p>
        </w:tc>
      </w:tr>
      <w:tr w:rsidR="00D51542" w14:paraId="53F4376E" w14:textId="77777777" w:rsidTr="00CD5942">
        <w:tc>
          <w:tcPr>
            <w:tcW w:w="4148" w:type="dxa"/>
          </w:tcPr>
          <w:p w14:paraId="734A958F" w14:textId="342952EB" w:rsidR="00D51542" w:rsidRPr="00FE4A91" w:rsidRDefault="00D51542" w:rsidP="00CD5942">
            <w:pPr>
              <w:rPr>
                <w:rFonts w:cs="Arial"/>
                <w:szCs w:val="20"/>
                <w:lang w:val="ga-IE"/>
              </w:rPr>
            </w:pPr>
            <w:r>
              <w:rPr>
                <w:rFonts w:cs="Arial"/>
                <w:szCs w:val="20"/>
                <w:lang w:val="ga-IE"/>
              </w:rPr>
              <w:t>UET Sponsor</w:t>
            </w:r>
          </w:p>
        </w:tc>
        <w:tc>
          <w:tcPr>
            <w:tcW w:w="4148" w:type="dxa"/>
          </w:tcPr>
          <w:p w14:paraId="0F589260" w14:textId="41D14856" w:rsidR="00D51542" w:rsidRDefault="00D51542" w:rsidP="00F71259">
            <w:pPr>
              <w:rPr>
                <w:rFonts w:cs="Arial"/>
                <w:szCs w:val="20"/>
                <w:lang w:val="ga-IE"/>
              </w:rPr>
            </w:pPr>
            <w:r>
              <w:rPr>
                <w:rFonts w:cs="Arial"/>
                <w:szCs w:val="20"/>
                <w:lang w:val="ga-IE"/>
              </w:rPr>
              <w:t>Chief Operations Office</w:t>
            </w:r>
          </w:p>
        </w:tc>
      </w:tr>
      <w:tr w:rsidR="00DC35A8" w14:paraId="1FE55964" w14:textId="77777777" w:rsidTr="00CD5942">
        <w:tc>
          <w:tcPr>
            <w:tcW w:w="4148" w:type="dxa"/>
          </w:tcPr>
          <w:p w14:paraId="587F481B" w14:textId="77777777" w:rsidR="00DC35A8" w:rsidRPr="00F009E5" w:rsidRDefault="00DC35A8" w:rsidP="00CD5942">
            <w:pPr>
              <w:rPr>
                <w:rFonts w:cs="Arial"/>
                <w:szCs w:val="20"/>
                <w:highlight w:val="yellow"/>
                <w:lang w:val="ga-IE"/>
              </w:rPr>
            </w:pPr>
            <w:r w:rsidRPr="004C751D">
              <w:rPr>
                <w:rFonts w:cs="Arial"/>
                <w:szCs w:val="20"/>
                <w:lang w:val="ga-IE"/>
              </w:rPr>
              <w:t>Reference number</w:t>
            </w:r>
          </w:p>
        </w:tc>
        <w:tc>
          <w:tcPr>
            <w:tcW w:w="4148" w:type="dxa"/>
          </w:tcPr>
          <w:p w14:paraId="25FE17D7" w14:textId="3DB9DBE9" w:rsidR="00DC35A8" w:rsidRPr="00F009E5" w:rsidRDefault="004C751D" w:rsidP="00CD5942">
            <w:pPr>
              <w:rPr>
                <w:rFonts w:cs="Arial"/>
                <w:szCs w:val="20"/>
                <w:highlight w:val="yellow"/>
                <w:lang w:val="ga-IE"/>
              </w:rPr>
            </w:pPr>
            <w:r w:rsidRPr="004C751D">
              <w:rPr>
                <w:rFonts w:cs="Arial"/>
                <w:szCs w:val="20"/>
                <w:lang w:val="ga-IE"/>
              </w:rPr>
              <w:t>TBC</w:t>
            </w:r>
          </w:p>
        </w:tc>
      </w:tr>
      <w:tr w:rsidR="00DC35A8" w14:paraId="796DA767" w14:textId="77777777" w:rsidTr="00CD5942">
        <w:tc>
          <w:tcPr>
            <w:tcW w:w="4148" w:type="dxa"/>
          </w:tcPr>
          <w:p w14:paraId="3CA31357" w14:textId="4F10B004" w:rsidR="00DC35A8" w:rsidRPr="00FE4A91" w:rsidRDefault="00DC35A8" w:rsidP="00CD5942">
            <w:pPr>
              <w:rPr>
                <w:rFonts w:cs="Arial"/>
                <w:szCs w:val="20"/>
                <w:lang w:val="ga-IE"/>
              </w:rPr>
            </w:pPr>
            <w:r w:rsidRPr="00FE4A91">
              <w:rPr>
                <w:rFonts w:cs="Arial"/>
                <w:szCs w:val="20"/>
                <w:lang w:val="ga-IE"/>
              </w:rPr>
              <w:t>Version</w:t>
            </w:r>
          </w:p>
        </w:tc>
        <w:tc>
          <w:tcPr>
            <w:tcW w:w="4148" w:type="dxa"/>
          </w:tcPr>
          <w:p w14:paraId="5729CB6B" w14:textId="0BDF03EA" w:rsidR="00DC35A8" w:rsidRPr="00FE4A91" w:rsidRDefault="008C2017" w:rsidP="00E73892">
            <w:pPr>
              <w:rPr>
                <w:rFonts w:cs="Arial"/>
                <w:szCs w:val="20"/>
                <w:lang w:val="ga-IE"/>
              </w:rPr>
            </w:pPr>
            <w:r>
              <w:rPr>
                <w:rFonts w:cs="Arial"/>
                <w:szCs w:val="20"/>
                <w:lang w:val="ga-IE"/>
              </w:rPr>
              <w:t>V</w:t>
            </w:r>
            <w:r w:rsidR="00791B5F">
              <w:rPr>
                <w:rFonts w:cs="Arial"/>
                <w:szCs w:val="20"/>
                <w:lang w:val="ga-IE"/>
              </w:rPr>
              <w:t>2.0</w:t>
            </w:r>
          </w:p>
        </w:tc>
      </w:tr>
      <w:tr w:rsidR="00DC35A8" w14:paraId="27572362" w14:textId="77777777" w:rsidTr="00CD5942">
        <w:tc>
          <w:tcPr>
            <w:tcW w:w="4148" w:type="dxa"/>
          </w:tcPr>
          <w:p w14:paraId="7EBC0AF5" w14:textId="77777777" w:rsidR="00DC35A8" w:rsidRPr="00FE4A91" w:rsidRDefault="00DC35A8" w:rsidP="00CD5942">
            <w:pPr>
              <w:rPr>
                <w:rFonts w:cs="Arial"/>
                <w:szCs w:val="20"/>
                <w:lang w:val="ga-IE"/>
              </w:rPr>
            </w:pPr>
            <w:r w:rsidRPr="00FE4A91">
              <w:rPr>
                <w:rFonts w:cs="Arial"/>
                <w:szCs w:val="20"/>
                <w:lang w:val="ga-IE"/>
              </w:rPr>
              <w:t>Status</w:t>
            </w:r>
          </w:p>
        </w:tc>
        <w:tc>
          <w:tcPr>
            <w:tcW w:w="4148" w:type="dxa"/>
          </w:tcPr>
          <w:p w14:paraId="0EFD529E" w14:textId="06CD998E" w:rsidR="00DC35A8" w:rsidRPr="00FE4A91" w:rsidRDefault="00953AB1" w:rsidP="00CD5942">
            <w:pPr>
              <w:rPr>
                <w:rFonts w:cs="Arial"/>
                <w:szCs w:val="20"/>
                <w:lang w:val="ga-IE"/>
              </w:rPr>
            </w:pPr>
            <w:r>
              <w:rPr>
                <w:rFonts w:cs="Arial"/>
                <w:szCs w:val="20"/>
                <w:lang w:val="ga-IE"/>
              </w:rPr>
              <w:t>Approved</w:t>
            </w:r>
          </w:p>
        </w:tc>
      </w:tr>
      <w:tr w:rsidR="00240074" w14:paraId="41F7B7E3" w14:textId="77777777" w:rsidTr="00CD5942">
        <w:tc>
          <w:tcPr>
            <w:tcW w:w="4148" w:type="dxa"/>
          </w:tcPr>
          <w:p w14:paraId="5FBEE9DC" w14:textId="3DE4E67A" w:rsidR="00240074" w:rsidRPr="00FE4A91" w:rsidRDefault="00240074" w:rsidP="00CD5942">
            <w:pPr>
              <w:rPr>
                <w:rFonts w:cs="Arial"/>
                <w:szCs w:val="20"/>
                <w:lang w:val="ga-IE"/>
              </w:rPr>
            </w:pPr>
            <w:r>
              <w:rPr>
                <w:rFonts w:cs="Arial"/>
                <w:szCs w:val="20"/>
                <w:lang w:val="ga-IE"/>
              </w:rPr>
              <w:t>Approval Body</w:t>
            </w:r>
          </w:p>
        </w:tc>
        <w:tc>
          <w:tcPr>
            <w:tcW w:w="4148" w:type="dxa"/>
          </w:tcPr>
          <w:p w14:paraId="3A1E92EF" w14:textId="288A682D" w:rsidR="00240074" w:rsidRDefault="00240074" w:rsidP="00CD5942">
            <w:pPr>
              <w:rPr>
                <w:rFonts w:cs="Arial"/>
                <w:szCs w:val="20"/>
                <w:lang w:val="ga-IE"/>
              </w:rPr>
            </w:pPr>
            <w:r>
              <w:rPr>
                <w:rFonts w:cs="Arial"/>
                <w:szCs w:val="20"/>
                <w:lang w:val="ga-IE"/>
              </w:rPr>
              <w:t>Governing Body</w:t>
            </w:r>
          </w:p>
        </w:tc>
      </w:tr>
      <w:tr w:rsidR="00DC35A8" w14:paraId="087128AE" w14:textId="77777777" w:rsidTr="00CD5942">
        <w:tc>
          <w:tcPr>
            <w:tcW w:w="4148" w:type="dxa"/>
          </w:tcPr>
          <w:p w14:paraId="05EA4EAD" w14:textId="77777777" w:rsidR="00DC35A8" w:rsidRPr="004C751D" w:rsidRDefault="00DC35A8" w:rsidP="00CD5942">
            <w:pPr>
              <w:rPr>
                <w:rFonts w:cs="Arial"/>
                <w:szCs w:val="20"/>
                <w:lang w:val="ga-IE"/>
              </w:rPr>
            </w:pPr>
            <w:r w:rsidRPr="004C751D">
              <w:rPr>
                <w:rFonts w:cs="Arial"/>
                <w:szCs w:val="20"/>
                <w:lang w:val="ga-IE"/>
              </w:rPr>
              <w:t>Approval date</w:t>
            </w:r>
          </w:p>
        </w:tc>
        <w:tc>
          <w:tcPr>
            <w:tcW w:w="4148" w:type="dxa"/>
          </w:tcPr>
          <w:p w14:paraId="08D903BD" w14:textId="4AB3E553" w:rsidR="00DC35A8" w:rsidRPr="004C751D" w:rsidRDefault="004C751D" w:rsidP="00CD5942">
            <w:pPr>
              <w:rPr>
                <w:rFonts w:cs="Arial"/>
                <w:szCs w:val="20"/>
                <w:lang w:val="ga-IE"/>
              </w:rPr>
            </w:pPr>
            <w:r w:rsidRPr="004C751D">
              <w:rPr>
                <w:rFonts w:cs="Arial"/>
                <w:szCs w:val="20"/>
                <w:lang w:val="ga-IE"/>
              </w:rPr>
              <w:t>07.07.2023</w:t>
            </w:r>
          </w:p>
        </w:tc>
      </w:tr>
      <w:tr w:rsidR="008367D6" w14:paraId="02E76497" w14:textId="77777777" w:rsidTr="00CD5942">
        <w:tc>
          <w:tcPr>
            <w:tcW w:w="4148" w:type="dxa"/>
          </w:tcPr>
          <w:p w14:paraId="78324578" w14:textId="77777777" w:rsidR="008367D6" w:rsidRPr="00FE4A91" w:rsidRDefault="008367D6" w:rsidP="00CD5942">
            <w:pPr>
              <w:rPr>
                <w:rFonts w:cs="Arial"/>
                <w:szCs w:val="20"/>
                <w:lang w:val="ga-IE"/>
              </w:rPr>
            </w:pPr>
            <w:r>
              <w:rPr>
                <w:rFonts w:cs="Arial"/>
                <w:szCs w:val="20"/>
                <w:lang w:val="ga-IE"/>
              </w:rPr>
              <w:t>Next review date</w:t>
            </w:r>
          </w:p>
        </w:tc>
        <w:tc>
          <w:tcPr>
            <w:tcW w:w="4148" w:type="dxa"/>
          </w:tcPr>
          <w:p w14:paraId="3B9FF784" w14:textId="15C2EF58" w:rsidR="008367D6" w:rsidRPr="00FE4A91" w:rsidRDefault="00240074" w:rsidP="00CD5942">
            <w:pPr>
              <w:rPr>
                <w:rFonts w:cs="Arial"/>
                <w:szCs w:val="20"/>
                <w:lang w:val="ga-IE"/>
              </w:rPr>
            </w:pPr>
            <w:r>
              <w:rPr>
                <w:rFonts w:cs="Arial"/>
                <w:szCs w:val="20"/>
                <w:lang w:val="ga-IE"/>
              </w:rPr>
              <w:t>June 2027</w:t>
            </w:r>
          </w:p>
        </w:tc>
      </w:tr>
      <w:tr w:rsidR="00DC35A8" w14:paraId="7B824FA6" w14:textId="77777777" w:rsidTr="00CD5942">
        <w:tc>
          <w:tcPr>
            <w:tcW w:w="4148" w:type="dxa"/>
          </w:tcPr>
          <w:p w14:paraId="020A9BF9" w14:textId="77777777" w:rsidR="00DC35A8" w:rsidRPr="00FE4A91" w:rsidRDefault="00DC35A8" w:rsidP="00CD5942">
            <w:pPr>
              <w:rPr>
                <w:rFonts w:cs="Arial"/>
                <w:szCs w:val="20"/>
                <w:lang w:val="ga-IE"/>
              </w:rPr>
            </w:pPr>
            <w:r w:rsidRPr="00FE4A91">
              <w:rPr>
                <w:rFonts w:cs="Arial"/>
                <w:szCs w:val="20"/>
                <w:lang w:val="ga-IE"/>
              </w:rPr>
              <w:t>Document Classification</w:t>
            </w:r>
          </w:p>
        </w:tc>
        <w:tc>
          <w:tcPr>
            <w:tcW w:w="4148" w:type="dxa"/>
          </w:tcPr>
          <w:p w14:paraId="6C0E4BE4" w14:textId="77777777" w:rsidR="00DC35A8" w:rsidRPr="00FE4A91" w:rsidRDefault="008C2017" w:rsidP="00CD5942">
            <w:pPr>
              <w:rPr>
                <w:rFonts w:cs="Arial"/>
                <w:szCs w:val="20"/>
                <w:lang w:val="ga-IE"/>
              </w:rPr>
            </w:pPr>
            <w:r>
              <w:rPr>
                <w:rFonts w:cs="Arial"/>
                <w:szCs w:val="20"/>
                <w:lang w:val="ga-IE"/>
              </w:rPr>
              <w:t>Public</w:t>
            </w:r>
          </w:p>
        </w:tc>
      </w:tr>
    </w:tbl>
    <w:p w14:paraId="5136862B" w14:textId="355029F5" w:rsidR="00E95641" w:rsidRDefault="00E95641" w:rsidP="00E95641"/>
    <w:p w14:paraId="5F6678B0" w14:textId="7930EC39" w:rsidR="00606882" w:rsidRDefault="00606882" w:rsidP="00E95641"/>
    <w:p w14:paraId="64E34350" w14:textId="0C060676" w:rsidR="00606882" w:rsidRDefault="00606882" w:rsidP="00E95641"/>
    <w:p w14:paraId="5E32A027" w14:textId="77777777" w:rsidR="00606882" w:rsidRPr="00FD7948" w:rsidRDefault="00606882" w:rsidP="00E95641"/>
    <w:p w14:paraId="33C60AFF" w14:textId="77777777" w:rsidR="00E95641" w:rsidRDefault="00E95641" w:rsidP="00C15C46">
      <w:pPr>
        <w:pStyle w:val="Heading1"/>
      </w:pPr>
      <w:bookmarkStart w:id="4" w:name="_Toc68686768"/>
      <w:bookmarkStart w:id="5" w:name="_Toc135910052"/>
      <w:r w:rsidRPr="00280173">
        <w:t xml:space="preserve">Introduction </w:t>
      </w:r>
      <w:r>
        <w:t>/</w:t>
      </w:r>
      <w:r w:rsidRPr="00280173">
        <w:t xml:space="preserve"> Context</w:t>
      </w:r>
      <w:bookmarkEnd w:id="4"/>
      <w:bookmarkEnd w:id="5"/>
    </w:p>
    <w:p w14:paraId="4FA09747" w14:textId="77777777" w:rsidR="000D2694" w:rsidRPr="000D2694" w:rsidRDefault="000D2694" w:rsidP="000D2694"/>
    <w:p w14:paraId="5ED852F0" w14:textId="4D34D044" w:rsidR="00695A4A" w:rsidRPr="00695A4A" w:rsidRDefault="00695A4A" w:rsidP="00FD5633">
      <w:pPr>
        <w:spacing w:after="0"/>
        <w:jc w:val="both"/>
        <w:rPr>
          <w:rFonts w:eastAsia="Times New Roman" w:cs="Arial"/>
          <w:szCs w:val="20"/>
          <w:lang w:val="en-GB" w:eastAsia="en-GB"/>
        </w:rPr>
      </w:pPr>
      <w:r w:rsidRPr="00695A4A">
        <w:rPr>
          <w:rFonts w:eastAsia="Times New Roman" w:cs="Arial"/>
          <w:szCs w:val="20"/>
          <w:lang w:val="en-GB" w:eastAsia="en-GB"/>
        </w:rPr>
        <w:t xml:space="preserve">Health and safety training is a legal requirement specified by the </w:t>
      </w:r>
      <w:r w:rsidRPr="00FD5633">
        <w:rPr>
          <w:rFonts w:eastAsia="Times New Roman" w:cs="Arial"/>
          <w:i/>
          <w:szCs w:val="20"/>
          <w:lang w:val="en-GB" w:eastAsia="en-GB"/>
        </w:rPr>
        <w:t>Safety, Health and Welfare at Work</w:t>
      </w:r>
      <w:r w:rsidRPr="00FD5633">
        <w:rPr>
          <w:rFonts w:asciiTheme="majorHAnsi" w:hAnsiTheme="majorHAnsi" w:cstheme="majorHAnsi"/>
          <w:i/>
        </w:rPr>
        <w:t xml:space="preserve"> </w:t>
      </w:r>
      <w:r w:rsidRPr="00FD5633">
        <w:rPr>
          <w:rFonts w:eastAsia="Times New Roman" w:cs="Arial"/>
          <w:i/>
          <w:szCs w:val="20"/>
          <w:lang w:val="en-GB" w:eastAsia="en-GB"/>
        </w:rPr>
        <w:t>Act, 2005 (the Act)</w:t>
      </w:r>
      <w:r>
        <w:rPr>
          <w:rFonts w:eastAsia="Times New Roman" w:cs="Arial"/>
          <w:szCs w:val="20"/>
          <w:lang w:val="en-GB" w:eastAsia="en-GB"/>
        </w:rPr>
        <w:t xml:space="preserve"> </w:t>
      </w:r>
      <w:r w:rsidRPr="00695A4A">
        <w:rPr>
          <w:rFonts w:eastAsia="Times New Roman" w:cs="Arial"/>
          <w:szCs w:val="20"/>
          <w:lang w:val="en-GB" w:eastAsia="en-GB"/>
        </w:rPr>
        <w:t xml:space="preserve">and associated Regulations. </w:t>
      </w:r>
      <w:r w:rsidRPr="00D0546A">
        <w:rPr>
          <w:rFonts w:eastAsia="Times New Roman" w:cs="Arial"/>
          <w:b/>
          <w:szCs w:val="20"/>
          <w:lang w:val="en-GB" w:eastAsia="en-GB"/>
        </w:rPr>
        <w:t>All employees</w:t>
      </w:r>
      <w:r w:rsidR="00D0546A">
        <w:rPr>
          <w:rFonts w:eastAsia="Times New Roman" w:cs="Arial"/>
          <w:b/>
          <w:szCs w:val="20"/>
          <w:lang w:val="en-GB" w:eastAsia="en-GB"/>
        </w:rPr>
        <w:t xml:space="preserve"> and others as required (campus users etc) </w:t>
      </w:r>
      <w:r w:rsidRPr="00695A4A">
        <w:rPr>
          <w:rFonts w:eastAsia="Times New Roman" w:cs="Arial"/>
          <w:szCs w:val="20"/>
          <w:lang w:val="en-GB" w:eastAsia="en-GB"/>
        </w:rPr>
        <w:t xml:space="preserve"> must participate in appropriate health and safety training and assessment as is required. </w:t>
      </w:r>
    </w:p>
    <w:p w14:paraId="2BF29A5B" w14:textId="77777777" w:rsidR="00695A4A" w:rsidRPr="00695A4A" w:rsidRDefault="00695A4A" w:rsidP="00FD5633">
      <w:pPr>
        <w:spacing w:after="0"/>
        <w:jc w:val="both"/>
        <w:rPr>
          <w:rFonts w:eastAsia="Times New Roman" w:cs="Arial"/>
          <w:szCs w:val="20"/>
          <w:lang w:val="en-GB" w:eastAsia="en-GB"/>
        </w:rPr>
      </w:pPr>
    </w:p>
    <w:p w14:paraId="15184E62" w14:textId="77777777" w:rsidR="00695A4A" w:rsidRPr="00695A4A" w:rsidRDefault="00695A4A" w:rsidP="00FD5633">
      <w:pPr>
        <w:spacing w:after="0"/>
        <w:jc w:val="both"/>
        <w:rPr>
          <w:rFonts w:eastAsia="Times New Roman" w:cs="Arial"/>
          <w:szCs w:val="20"/>
          <w:lang w:val="en-GB" w:eastAsia="en-GB"/>
        </w:rPr>
      </w:pPr>
      <w:r w:rsidRPr="00695A4A">
        <w:rPr>
          <w:rFonts w:eastAsia="Times New Roman" w:cs="Arial"/>
          <w:szCs w:val="20"/>
          <w:lang w:val="en-GB" w:eastAsia="en-GB"/>
        </w:rPr>
        <w:t>Training also serves to develop and improve safety awareness and attitudes that are essential for effective safety management. It is our policy to provide appropriate health and safety training to all within scope.</w:t>
      </w:r>
    </w:p>
    <w:p w14:paraId="6083B75A" w14:textId="77777777" w:rsidR="00695A4A" w:rsidRPr="00695A4A" w:rsidRDefault="00695A4A" w:rsidP="00FD5633">
      <w:pPr>
        <w:spacing w:after="0"/>
        <w:jc w:val="both"/>
        <w:rPr>
          <w:rFonts w:eastAsia="Times New Roman" w:cs="Arial"/>
          <w:szCs w:val="20"/>
          <w:lang w:val="en-GB" w:eastAsia="en-GB"/>
        </w:rPr>
      </w:pPr>
    </w:p>
    <w:p w14:paraId="381DE8EA" w14:textId="77777777" w:rsidR="00695A4A" w:rsidRPr="00695A4A" w:rsidRDefault="00695A4A" w:rsidP="00FD5633">
      <w:pPr>
        <w:spacing w:after="0"/>
        <w:jc w:val="both"/>
        <w:rPr>
          <w:rFonts w:eastAsia="Times New Roman" w:cs="Arial"/>
          <w:szCs w:val="20"/>
          <w:lang w:val="en-GB" w:eastAsia="en-GB"/>
        </w:rPr>
      </w:pPr>
      <w:r w:rsidRPr="00695A4A">
        <w:rPr>
          <w:rFonts w:eastAsia="Times New Roman" w:cs="Arial"/>
          <w:szCs w:val="20"/>
          <w:lang w:val="en-GB" w:eastAsia="en-GB"/>
        </w:rPr>
        <w:t>The on-going health and safety training needs of employees will be identified through training needs analysis carried out by line managers/Heads of School/Function in consultation with the Safety, Health and Welfare Office and the People Development Office. Compliance with this policy will be monitored by the Head of Governance and Compliance and the University Safety, Health and Welfare Steering Committee.</w:t>
      </w:r>
    </w:p>
    <w:p w14:paraId="6E7D1E17" w14:textId="77777777" w:rsidR="00695A4A" w:rsidRPr="00695A4A" w:rsidRDefault="00695A4A" w:rsidP="00FD5633">
      <w:pPr>
        <w:spacing w:after="0"/>
        <w:jc w:val="both"/>
        <w:rPr>
          <w:rFonts w:eastAsia="Times New Roman" w:cs="Arial"/>
          <w:szCs w:val="20"/>
          <w:lang w:val="en-GB" w:eastAsia="en-GB"/>
        </w:rPr>
      </w:pPr>
    </w:p>
    <w:p w14:paraId="50F84454" w14:textId="77777777" w:rsidR="00695A4A" w:rsidRPr="00695A4A" w:rsidRDefault="00695A4A" w:rsidP="00FD5633">
      <w:pPr>
        <w:spacing w:after="0"/>
        <w:jc w:val="both"/>
        <w:rPr>
          <w:rFonts w:eastAsia="Times New Roman" w:cs="Arial"/>
          <w:szCs w:val="20"/>
          <w:lang w:val="en-GB" w:eastAsia="en-GB"/>
        </w:rPr>
      </w:pPr>
      <w:r w:rsidRPr="00695A4A">
        <w:rPr>
          <w:rFonts w:eastAsia="Times New Roman" w:cs="Arial"/>
          <w:szCs w:val="20"/>
          <w:lang w:val="en-GB" w:eastAsia="en-GB"/>
        </w:rPr>
        <w:t>Health and safety training will be provided to those in scope taking into account their duties and their area of work. Training requirements will be based on the hazard identification and the risk assessment process. Training will also be provided following the introduction of new technologies, legislation or any changes/developments in work processes, relocation etc.</w:t>
      </w:r>
    </w:p>
    <w:p w14:paraId="5F621A9D" w14:textId="77777777" w:rsidR="00E95641" w:rsidRPr="001F12C8" w:rsidRDefault="00E95641" w:rsidP="00E95641">
      <w:pPr>
        <w:rPr>
          <w:rFonts w:cs="Arial"/>
          <w:szCs w:val="20"/>
        </w:rPr>
      </w:pPr>
    </w:p>
    <w:p w14:paraId="51A3D98B" w14:textId="77777777" w:rsidR="00CB0D95" w:rsidRDefault="00E95641" w:rsidP="00C15C46">
      <w:pPr>
        <w:pStyle w:val="Heading1"/>
      </w:pPr>
      <w:bookmarkStart w:id="6" w:name="_Toc68686769"/>
      <w:bookmarkStart w:id="7" w:name="_Toc135910053"/>
      <w:r w:rsidRPr="000D2694">
        <w:t>Purpose</w:t>
      </w:r>
      <w:bookmarkEnd w:id="6"/>
      <w:bookmarkEnd w:id="7"/>
    </w:p>
    <w:p w14:paraId="15DD818A" w14:textId="77777777" w:rsidR="000D2694" w:rsidRPr="000D2694" w:rsidRDefault="000D2694" w:rsidP="000D2694"/>
    <w:p w14:paraId="6DBF4F04" w14:textId="77777777" w:rsidR="00BF34CE" w:rsidRDefault="006C02DB" w:rsidP="00FD5633">
      <w:pPr>
        <w:spacing w:after="160" w:line="259" w:lineRule="auto"/>
        <w:jc w:val="both"/>
        <w:rPr>
          <w:rFonts w:eastAsia="Times New Roman" w:cs="Arial"/>
          <w:szCs w:val="20"/>
          <w:lang w:val="en-GB" w:eastAsia="en-GB"/>
        </w:rPr>
      </w:pPr>
      <w:r w:rsidRPr="008106B9">
        <w:rPr>
          <w:rFonts w:eastAsia="Times New Roman" w:cs="Arial"/>
          <w:szCs w:val="20"/>
          <w:lang w:val="en-GB" w:eastAsia="en-GB"/>
        </w:rPr>
        <w:t xml:space="preserve">It is a legal requirement under the </w:t>
      </w:r>
      <w:r w:rsidRPr="00FD5633">
        <w:rPr>
          <w:rFonts w:eastAsia="Times New Roman" w:cs="Arial"/>
          <w:i/>
          <w:szCs w:val="20"/>
          <w:lang w:val="en-GB" w:eastAsia="en-GB"/>
        </w:rPr>
        <w:t>Safety, Health and Welfare at Work Act, 2005 for</w:t>
      </w:r>
      <w:r w:rsidRPr="008106B9">
        <w:rPr>
          <w:rFonts w:eastAsia="Times New Roman" w:cs="Arial"/>
          <w:szCs w:val="20"/>
          <w:lang w:val="en-GB" w:eastAsia="en-GB"/>
        </w:rPr>
        <w:t xml:space="preserve"> employers to provide: </w:t>
      </w:r>
      <w:r w:rsidRPr="008106B9">
        <w:rPr>
          <w:rFonts w:eastAsia="Times New Roman" w:cs="Arial"/>
          <w:i/>
          <w:szCs w:val="20"/>
          <w:lang w:val="en-GB" w:eastAsia="en-GB"/>
        </w:rPr>
        <w:t>instruction, training and supervision to employees in relation to their safety, health and welfare at work</w:t>
      </w:r>
      <w:r>
        <w:rPr>
          <w:rStyle w:val="FootnoteReference"/>
          <w:rFonts w:eastAsia="Times New Roman" w:cs="Arial"/>
          <w:i/>
          <w:szCs w:val="20"/>
          <w:lang w:val="en-GB" w:eastAsia="en-GB"/>
        </w:rPr>
        <w:footnoteReference w:id="1"/>
      </w:r>
      <w:r w:rsidRPr="008106B9">
        <w:rPr>
          <w:rFonts w:eastAsia="Times New Roman" w:cs="Arial"/>
          <w:szCs w:val="20"/>
          <w:lang w:val="en-GB" w:eastAsia="en-GB"/>
        </w:rPr>
        <w:t xml:space="preserve">. </w:t>
      </w:r>
      <w:r w:rsidR="008106B9" w:rsidRPr="008106B9">
        <w:rPr>
          <w:rFonts w:eastAsia="Times New Roman" w:cs="Arial"/>
          <w:szCs w:val="20"/>
          <w:lang w:val="en-GB" w:eastAsia="en-GB"/>
        </w:rPr>
        <w:t xml:space="preserve">The overarching commitment of the University’s general Health and Safety Policy is to ensure the provision of all necessary health and safety training that staff, students and visitors will require to carry out their activities within the University safely. </w:t>
      </w:r>
    </w:p>
    <w:p w14:paraId="5F473C05" w14:textId="77777777" w:rsidR="00BF34CE" w:rsidRDefault="00443B19" w:rsidP="00FD5633">
      <w:pPr>
        <w:spacing w:after="160" w:line="259" w:lineRule="auto"/>
        <w:jc w:val="both"/>
        <w:rPr>
          <w:rFonts w:eastAsia="Times New Roman" w:cs="Arial"/>
          <w:szCs w:val="20"/>
          <w:lang w:val="en-GB" w:eastAsia="en-GB"/>
        </w:rPr>
      </w:pPr>
      <w:r w:rsidRPr="00D0546A">
        <w:rPr>
          <w:rFonts w:eastAsia="Times New Roman" w:cs="Arial"/>
          <w:b/>
          <w:szCs w:val="20"/>
          <w:u w:val="single"/>
          <w:lang w:val="en-GB" w:eastAsia="en-GB"/>
        </w:rPr>
        <w:t xml:space="preserve">It is a legal requirement under the </w:t>
      </w:r>
      <w:r w:rsidRPr="00D0546A">
        <w:rPr>
          <w:rFonts w:eastAsia="Times New Roman" w:cs="Arial"/>
          <w:b/>
          <w:i/>
          <w:szCs w:val="20"/>
          <w:u w:val="single"/>
          <w:lang w:val="en-GB" w:eastAsia="en-GB"/>
        </w:rPr>
        <w:t>Safety, Health and Welfare at Work Act, 2005</w:t>
      </w:r>
      <w:r w:rsidRPr="00D0546A">
        <w:rPr>
          <w:rFonts w:eastAsia="Times New Roman" w:cs="Arial"/>
          <w:b/>
          <w:szCs w:val="20"/>
          <w:u w:val="single"/>
          <w:lang w:val="en-GB" w:eastAsia="en-GB"/>
        </w:rPr>
        <w:t xml:space="preserve"> for employees to: </w:t>
      </w:r>
      <w:r w:rsidRPr="00D0546A">
        <w:rPr>
          <w:rFonts w:eastAsia="Times New Roman" w:cs="Arial"/>
          <w:b/>
          <w:i/>
          <w:szCs w:val="20"/>
          <w:u w:val="single"/>
          <w:lang w:val="en-GB" w:eastAsia="en-GB"/>
        </w:rPr>
        <w:t>attend training,</w:t>
      </w:r>
      <w:r w:rsidRPr="00443B19">
        <w:rPr>
          <w:rFonts w:eastAsia="Times New Roman" w:cs="Arial"/>
          <w:i/>
          <w:szCs w:val="20"/>
          <w:lang w:val="en-GB" w:eastAsia="en-GB"/>
        </w:rPr>
        <w:t xml:space="preserve"> and as appropriate, undergo assessment, as may reasonably be required by their employer, or as may be prescribed relating to safety, health and welfare at work, or relating to the work carried out by the employee</w:t>
      </w:r>
      <w:r>
        <w:rPr>
          <w:rStyle w:val="FootnoteReference"/>
          <w:rFonts w:eastAsia="Times New Roman" w:cs="Arial"/>
          <w:i/>
          <w:szCs w:val="20"/>
          <w:lang w:val="en-GB" w:eastAsia="en-GB"/>
        </w:rPr>
        <w:footnoteReference w:id="2"/>
      </w:r>
      <w:r>
        <w:rPr>
          <w:rFonts w:eastAsia="Times New Roman" w:cs="Arial"/>
          <w:szCs w:val="20"/>
          <w:lang w:val="en-GB" w:eastAsia="en-GB"/>
        </w:rPr>
        <w:t>.</w:t>
      </w:r>
    </w:p>
    <w:p w14:paraId="4AD6777D" w14:textId="77777777" w:rsidR="008106B9" w:rsidRPr="008106B9" w:rsidRDefault="00942174" w:rsidP="008106B9">
      <w:pPr>
        <w:spacing w:after="160" w:line="259" w:lineRule="auto"/>
        <w:rPr>
          <w:rFonts w:eastAsia="Times New Roman" w:cs="Arial"/>
          <w:szCs w:val="20"/>
          <w:lang w:val="en-GB" w:eastAsia="en-GB"/>
        </w:rPr>
      </w:pPr>
      <w:r w:rsidRPr="000D2694">
        <w:t>The purpose of this policy is to set out the health and safety training requirements under the Act and the University’s commitment to ensuring compliance with those requirements</w:t>
      </w:r>
    </w:p>
    <w:p w14:paraId="20B2D0ED" w14:textId="77777777" w:rsidR="00695A4A" w:rsidRPr="00942174" w:rsidRDefault="00695A4A" w:rsidP="00942174">
      <w:pPr>
        <w:rPr>
          <w:rFonts w:eastAsia="Times New Roman" w:cs="Arial"/>
          <w:szCs w:val="20"/>
          <w:lang w:val="en-GB" w:eastAsia="en-GB"/>
        </w:rPr>
      </w:pPr>
    </w:p>
    <w:p w14:paraId="0705D7C3" w14:textId="77777777" w:rsidR="00E95641" w:rsidRDefault="00E95641" w:rsidP="00C15C46">
      <w:pPr>
        <w:pStyle w:val="Heading1"/>
      </w:pPr>
      <w:bookmarkStart w:id="8" w:name="_Toc68686770"/>
      <w:bookmarkStart w:id="9" w:name="_Toc135910054"/>
      <w:r>
        <w:t>Scope</w:t>
      </w:r>
      <w:bookmarkEnd w:id="8"/>
      <w:bookmarkEnd w:id="9"/>
    </w:p>
    <w:p w14:paraId="06330825" w14:textId="77777777" w:rsidR="000D2694" w:rsidRPr="000D2694" w:rsidRDefault="000D2694" w:rsidP="000D2694"/>
    <w:p w14:paraId="6ECC1EAC" w14:textId="3AEAE076" w:rsidR="0020326A" w:rsidRPr="0020326A" w:rsidRDefault="0020326A" w:rsidP="00FD5633">
      <w:pPr>
        <w:jc w:val="both"/>
      </w:pPr>
      <w:r w:rsidRPr="0020326A">
        <w:t>This policy applies to all employees</w:t>
      </w:r>
      <w:r w:rsidR="00637E5C">
        <w:t xml:space="preserve"> (and others as required – campus users</w:t>
      </w:r>
      <w:r w:rsidR="007450D1">
        <w:t>,</w:t>
      </w:r>
      <w:r w:rsidR="007450D1" w:rsidRPr="007450D1">
        <w:t xml:space="preserve"> </w:t>
      </w:r>
      <w:r w:rsidR="007450D1" w:rsidRPr="0020326A">
        <w:t>post doctorates/postgraduates in research</w:t>
      </w:r>
      <w:r w:rsidR="00637E5C">
        <w:t xml:space="preserve"> </w:t>
      </w:r>
      <w:r w:rsidR="00E173AF">
        <w:t>etc.</w:t>
      </w:r>
      <w:r w:rsidR="00637E5C">
        <w:t>)</w:t>
      </w:r>
      <w:r w:rsidRPr="0020326A">
        <w:t xml:space="preserve"> of Technological University Dublin (TU Dublin) whether whole-time, pro-rata part-time, hourly pai</w:t>
      </w:r>
      <w:r w:rsidR="001654B5">
        <w:t xml:space="preserve">d, </w:t>
      </w:r>
      <w:r w:rsidRPr="0020326A">
        <w:t>permanent/temporary, academic/professional management support staff</w:t>
      </w:r>
      <w:r w:rsidR="007450D1">
        <w:t xml:space="preserve">. </w:t>
      </w:r>
      <w:r w:rsidRPr="0020326A">
        <w:t xml:space="preserve">  </w:t>
      </w:r>
    </w:p>
    <w:p w14:paraId="27C1A545" w14:textId="77777777" w:rsidR="00CB0D95" w:rsidRDefault="00CB0D95" w:rsidP="00CB0D95"/>
    <w:p w14:paraId="4AEE1A6A" w14:textId="77777777" w:rsidR="00E95641" w:rsidRDefault="00E95641" w:rsidP="00C15C46">
      <w:pPr>
        <w:pStyle w:val="Heading1"/>
      </w:pPr>
      <w:bookmarkStart w:id="10" w:name="_Toc68686771"/>
      <w:bookmarkStart w:id="11" w:name="_Toc135910055"/>
      <w:r>
        <w:lastRenderedPageBreak/>
        <w:t>Definitions</w:t>
      </w:r>
      <w:bookmarkEnd w:id="10"/>
      <w:bookmarkEnd w:id="11"/>
      <w:r>
        <w:t xml:space="preserve"> </w:t>
      </w:r>
    </w:p>
    <w:p w14:paraId="2B781FE3" w14:textId="77777777" w:rsidR="000D2694" w:rsidRPr="000D2694" w:rsidRDefault="000D2694" w:rsidP="00FD5633">
      <w:pPr>
        <w:jc w:val="both"/>
      </w:pPr>
    </w:p>
    <w:p w14:paraId="3A6C16F7" w14:textId="194EA71A" w:rsidR="00905477" w:rsidRPr="00905477" w:rsidRDefault="00905477" w:rsidP="00FD5633">
      <w:pPr>
        <w:jc w:val="both"/>
        <w:rPr>
          <w:rFonts w:eastAsia="Times New Roman" w:cs="Times New Roman"/>
          <w:bCs/>
          <w:iCs/>
          <w:color w:val="00A9B7"/>
          <w:szCs w:val="28"/>
          <w:lang w:val="en-GB" w:eastAsia="en-GB"/>
        </w:rPr>
      </w:pPr>
      <w:r w:rsidRPr="00905477">
        <w:rPr>
          <w:rFonts w:eastAsia="Times New Roman" w:cs="Times New Roman"/>
          <w:bCs/>
          <w:iCs/>
          <w:color w:val="00A9B7"/>
          <w:szCs w:val="28"/>
          <w:lang w:val="en-GB" w:eastAsia="en-GB"/>
        </w:rPr>
        <w:t>Manual Handling</w:t>
      </w:r>
      <w:r>
        <w:rPr>
          <w:rFonts w:eastAsia="Times New Roman" w:cs="Times New Roman"/>
          <w:bCs/>
          <w:iCs/>
          <w:color w:val="00A9B7"/>
          <w:szCs w:val="28"/>
          <w:lang w:val="en-GB" w:eastAsia="en-GB"/>
        </w:rPr>
        <w:t xml:space="preserve">: </w:t>
      </w:r>
      <w:r w:rsidRPr="00905477">
        <w:rPr>
          <w:rFonts w:eastAsia="Times New Roman" w:cs="Times New Roman"/>
          <w:bCs/>
          <w:iCs/>
          <w:color w:val="00A9B7"/>
          <w:szCs w:val="28"/>
          <w:lang w:val="en-GB" w:eastAsia="en-GB"/>
        </w:rPr>
        <w:t xml:space="preserve"> </w:t>
      </w:r>
      <w:r w:rsidRPr="00905477">
        <w:t>Manual handling of loads means any transporting or supporting of a load by one or more e</w:t>
      </w:r>
      <w:r>
        <w:t xml:space="preserve">mployees and includes lifting, </w:t>
      </w:r>
      <w:r w:rsidRPr="00905477">
        <w:t xml:space="preserve">putting </w:t>
      </w:r>
      <w:r>
        <w:t xml:space="preserve">down, pushing, pulling, carrying or moving a load, which by reasons of its characteristics or of </w:t>
      </w:r>
      <w:r w:rsidR="00FF770F">
        <w:t>unfavorable</w:t>
      </w:r>
      <w:r>
        <w:t xml:space="preserve"> ergonomic conditions, involves risk, particularly of back injury, to employees</w:t>
      </w:r>
      <w:r w:rsidR="00483EC0">
        <w:rPr>
          <w:rStyle w:val="FootnoteReference"/>
        </w:rPr>
        <w:footnoteReference w:id="3"/>
      </w:r>
      <w:r>
        <w:t>.</w:t>
      </w:r>
    </w:p>
    <w:p w14:paraId="5FB9D0DA" w14:textId="77777777" w:rsidR="00E95641" w:rsidRDefault="00905477" w:rsidP="00FD5633">
      <w:pPr>
        <w:autoSpaceDE w:val="0"/>
        <w:autoSpaceDN w:val="0"/>
        <w:adjustRightInd w:val="0"/>
        <w:spacing w:after="0"/>
        <w:jc w:val="both"/>
      </w:pPr>
      <w:r>
        <w:rPr>
          <w:rFonts w:eastAsia="Times New Roman" w:cs="Times New Roman"/>
          <w:bCs/>
          <w:iCs/>
          <w:color w:val="00A9B7"/>
          <w:szCs w:val="28"/>
          <w:lang w:val="en-GB" w:eastAsia="en-GB"/>
        </w:rPr>
        <w:t>Employee:</w:t>
      </w:r>
      <w:r w:rsidRPr="00905477">
        <w:rPr>
          <w:rFonts w:eastAsia="Times New Roman" w:cs="Times New Roman"/>
          <w:bCs/>
          <w:iCs/>
          <w:color w:val="00A9B7"/>
          <w:szCs w:val="28"/>
          <w:lang w:val="en-GB" w:eastAsia="en-GB"/>
        </w:rPr>
        <w:t xml:space="preserve"> </w:t>
      </w:r>
      <w:r w:rsidRPr="00905477">
        <w:t>means a person who has entered into or works under (or, where the employment has ceased, entered into or worked under) a contract of employment and</w:t>
      </w:r>
      <w:r>
        <w:t xml:space="preserve"> includes a fixed-term employee </w:t>
      </w:r>
      <w:r w:rsidRPr="00905477">
        <w:t>and a temporary employee</w:t>
      </w:r>
      <w:r w:rsidR="00483EC0">
        <w:rPr>
          <w:rStyle w:val="FootnoteReference"/>
        </w:rPr>
        <w:footnoteReference w:id="4"/>
      </w:r>
    </w:p>
    <w:p w14:paraId="768E3434" w14:textId="77777777" w:rsidR="00BF34CE" w:rsidRDefault="00BF34CE" w:rsidP="00905477">
      <w:pPr>
        <w:autoSpaceDE w:val="0"/>
        <w:autoSpaceDN w:val="0"/>
        <w:adjustRightInd w:val="0"/>
        <w:spacing w:after="0"/>
      </w:pPr>
    </w:p>
    <w:p w14:paraId="48759624" w14:textId="77777777" w:rsidR="00E95641" w:rsidRDefault="00E95641" w:rsidP="00C15C46">
      <w:pPr>
        <w:pStyle w:val="Heading1"/>
      </w:pPr>
      <w:bookmarkStart w:id="12" w:name="_Toc68686772"/>
      <w:bookmarkStart w:id="13" w:name="_Toc135910056"/>
      <w:r>
        <w:t>Policy Details:</w:t>
      </w:r>
      <w:bookmarkEnd w:id="12"/>
      <w:bookmarkEnd w:id="13"/>
    </w:p>
    <w:p w14:paraId="620DC89B" w14:textId="77777777" w:rsidR="00E95641" w:rsidRDefault="00E95641" w:rsidP="00E95641">
      <w:pPr>
        <w:rPr>
          <w:rFonts w:cs="Times"/>
        </w:rPr>
      </w:pPr>
    </w:p>
    <w:p w14:paraId="45D5C0DE" w14:textId="77777777" w:rsidR="00E95641" w:rsidRDefault="00E95641" w:rsidP="00052CBB">
      <w:pPr>
        <w:pStyle w:val="Heading2"/>
      </w:pPr>
      <w:bookmarkStart w:id="14" w:name="_Toc68686773"/>
      <w:bookmarkStart w:id="15" w:name="_Toc135910057"/>
      <w:r>
        <w:rPr>
          <w:rFonts w:cs="Times"/>
        </w:rPr>
        <w:t>6</w:t>
      </w:r>
      <w:r>
        <w:t>.1 Policy Overview</w:t>
      </w:r>
      <w:bookmarkEnd w:id="14"/>
      <w:bookmarkEnd w:id="15"/>
    </w:p>
    <w:p w14:paraId="3454E754" w14:textId="77777777" w:rsidR="006537B3" w:rsidRPr="006537B3" w:rsidRDefault="006537B3" w:rsidP="006537B3">
      <w:pPr>
        <w:spacing w:after="0"/>
        <w:ind w:right="-326"/>
        <w:jc w:val="both"/>
        <w:rPr>
          <w:rFonts w:cs="Arial"/>
        </w:rPr>
      </w:pPr>
      <w:r w:rsidRPr="006537B3">
        <w:rPr>
          <w:rFonts w:cs="Arial"/>
        </w:rPr>
        <w:t>The annual training programme for health and safety courses is prepared by the People Development Office in conjunction with the Safety, Health and Welfare Office.  The courses/workshops are developed to ensure that appropriate content is incorporated and that particular attention to the University’s health and safety policies and procedures is an integral component.  Specialised health and safety training will be provided as required and as deemed necessary through further risk or training needs assessments. Priority will be given to high risk activities/areas in the allocation of resources and scheduling of training courses. Where specialist health and safety training is required that is a specific local need and not a University wide need, the cost must be met through local budgets.</w:t>
      </w:r>
    </w:p>
    <w:p w14:paraId="383B63D3" w14:textId="77777777" w:rsidR="006537B3" w:rsidRPr="006537B3" w:rsidRDefault="006537B3" w:rsidP="006537B3">
      <w:pPr>
        <w:spacing w:after="0"/>
        <w:ind w:right="-326"/>
        <w:jc w:val="both"/>
        <w:rPr>
          <w:rFonts w:cs="Arial"/>
        </w:rPr>
      </w:pPr>
      <w:r w:rsidRPr="006537B3">
        <w:rPr>
          <w:rFonts w:cs="Arial"/>
        </w:rPr>
        <w:t>The People Development Office and the Safety, Health and Welfare Office will regularly review the training requirements and source training resources that are deemed to be the most suitable in line with procurement requirements.</w:t>
      </w:r>
    </w:p>
    <w:p w14:paraId="5971551E" w14:textId="77777777" w:rsidR="006537B3" w:rsidRPr="006537B3" w:rsidRDefault="006537B3" w:rsidP="006537B3">
      <w:pPr>
        <w:spacing w:after="0"/>
        <w:ind w:right="-326"/>
        <w:rPr>
          <w:rFonts w:cs="Arial"/>
        </w:rPr>
      </w:pPr>
      <w:r w:rsidRPr="006537B3">
        <w:rPr>
          <w:rFonts w:cs="Arial"/>
        </w:rPr>
        <w:t xml:space="preserve">       </w:t>
      </w:r>
    </w:p>
    <w:p w14:paraId="6BDB33F7" w14:textId="77777777" w:rsidR="006537B3" w:rsidRPr="006537B3" w:rsidRDefault="006537B3" w:rsidP="00FD5633">
      <w:pPr>
        <w:spacing w:after="0"/>
        <w:ind w:right="-326"/>
        <w:jc w:val="both"/>
        <w:rPr>
          <w:rFonts w:cs="Arial"/>
        </w:rPr>
      </w:pPr>
      <w:r w:rsidRPr="006537B3">
        <w:rPr>
          <w:rFonts w:cs="Arial"/>
        </w:rPr>
        <w:t xml:space="preserve">It is the responsibility of managers to facilitate staff to attend and participate in health and safety training. </w:t>
      </w:r>
      <w:r w:rsidRPr="004C56CA">
        <w:rPr>
          <w:rFonts w:cs="Arial"/>
        </w:rPr>
        <w:t>Common sense arrangements should be made to provide cover for employees attending training courses.  In exceptional circumstances, it may be possible to arrange for substitution subject to the agreement of the line manager.</w:t>
      </w:r>
    </w:p>
    <w:p w14:paraId="5365834A" w14:textId="77777777" w:rsidR="006537B3" w:rsidRPr="006537B3" w:rsidRDefault="006537B3" w:rsidP="00FD5633">
      <w:pPr>
        <w:spacing w:after="0"/>
        <w:ind w:right="-326"/>
        <w:jc w:val="both"/>
        <w:rPr>
          <w:rFonts w:cs="Arial"/>
        </w:rPr>
      </w:pPr>
      <w:r w:rsidRPr="006537B3">
        <w:rPr>
          <w:rFonts w:cs="Arial"/>
        </w:rPr>
        <w:t xml:space="preserve">The People Development Office will keep training records and will provide refresher training when necessary. Training arrangements will be reviewed, monitored and updated as required. </w:t>
      </w:r>
    </w:p>
    <w:p w14:paraId="786A91C2" w14:textId="77777777" w:rsidR="006537B3" w:rsidRPr="006537B3" w:rsidRDefault="006537B3" w:rsidP="00FD5633">
      <w:pPr>
        <w:spacing w:after="0"/>
        <w:ind w:right="-326"/>
        <w:jc w:val="both"/>
        <w:rPr>
          <w:rFonts w:cs="Arial"/>
        </w:rPr>
      </w:pPr>
    </w:p>
    <w:p w14:paraId="2B66C48D" w14:textId="77777777" w:rsidR="006537B3" w:rsidRPr="00457E00" w:rsidRDefault="006537B3" w:rsidP="00FD5633">
      <w:pPr>
        <w:spacing w:after="0"/>
        <w:ind w:right="-326"/>
        <w:jc w:val="both"/>
        <w:rPr>
          <w:rFonts w:asciiTheme="majorHAnsi" w:hAnsiTheme="majorHAnsi" w:cstheme="majorHAnsi"/>
        </w:rPr>
      </w:pPr>
      <w:r w:rsidRPr="006537B3">
        <w:rPr>
          <w:rFonts w:cs="Arial"/>
        </w:rPr>
        <w:t>Details of all health and safety training courses organised by the People Development Office are listed on the People Development website</w:t>
      </w:r>
      <w:r>
        <w:rPr>
          <w:rFonts w:asciiTheme="majorHAnsi" w:hAnsiTheme="majorHAnsi" w:cstheme="majorHAnsi"/>
        </w:rPr>
        <w:t xml:space="preserve">. </w:t>
      </w:r>
    </w:p>
    <w:p w14:paraId="208F1F7B" w14:textId="77777777" w:rsidR="00E95641" w:rsidRDefault="00E95641" w:rsidP="00E95641">
      <w:pPr>
        <w:rPr>
          <w:rFonts w:cs="Times"/>
        </w:rPr>
      </w:pPr>
    </w:p>
    <w:p w14:paraId="2DB76563" w14:textId="77777777" w:rsidR="00E95641" w:rsidRPr="00280173" w:rsidRDefault="00E95641" w:rsidP="00FD5633">
      <w:pPr>
        <w:pStyle w:val="Heading2"/>
        <w:jc w:val="both"/>
      </w:pPr>
      <w:bookmarkStart w:id="16" w:name="_Toc68686774"/>
      <w:bookmarkStart w:id="17" w:name="_Toc135910058"/>
      <w:r>
        <w:t>6.2 Policy Details</w:t>
      </w:r>
      <w:bookmarkEnd w:id="16"/>
      <w:bookmarkEnd w:id="17"/>
    </w:p>
    <w:p w14:paraId="6FB9472D" w14:textId="77777777" w:rsidR="00942174" w:rsidRDefault="006537B3" w:rsidP="00FD5633">
      <w:pPr>
        <w:jc w:val="both"/>
      </w:pPr>
      <w:bookmarkStart w:id="18" w:name="_Toc68686775"/>
      <w:r w:rsidRPr="004C56CA">
        <w:t>This policy</w:t>
      </w:r>
      <w:r w:rsidR="00942174" w:rsidRPr="004C56CA">
        <w:t xml:space="preserve"> set</w:t>
      </w:r>
      <w:r w:rsidRPr="004C56CA">
        <w:t>s</w:t>
      </w:r>
      <w:r w:rsidR="00942174" w:rsidRPr="004C56CA">
        <w:t xml:space="preserve"> out the health and safety training requirements under the Act and the University’s commitment to ensuring compliance with those requirements as detailed below:</w:t>
      </w:r>
    </w:p>
    <w:p w14:paraId="31EC7CBD" w14:textId="77777777" w:rsidR="00942174" w:rsidRPr="00695A4A" w:rsidRDefault="00942174" w:rsidP="00FD5633">
      <w:pPr>
        <w:pStyle w:val="ListParagraph"/>
        <w:numPr>
          <w:ilvl w:val="0"/>
          <w:numId w:val="24"/>
        </w:numPr>
        <w:spacing w:after="160" w:line="259" w:lineRule="auto"/>
        <w:jc w:val="both"/>
        <w:rPr>
          <w:rFonts w:eastAsia="Times New Roman" w:cs="Arial"/>
          <w:szCs w:val="20"/>
          <w:lang w:val="en-GB" w:eastAsia="en-GB"/>
        </w:rPr>
      </w:pPr>
      <w:r w:rsidRPr="00695A4A">
        <w:rPr>
          <w:rFonts w:eastAsia="Times New Roman" w:cs="Arial"/>
          <w:szCs w:val="20"/>
          <w:lang w:val="en-GB" w:eastAsia="en-GB"/>
        </w:rPr>
        <w:t xml:space="preserve">The University is committed to providing </w:t>
      </w:r>
      <w:r>
        <w:rPr>
          <w:rFonts w:eastAsia="Times New Roman" w:cs="Arial"/>
          <w:szCs w:val="20"/>
          <w:lang w:val="en-GB" w:eastAsia="en-GB"/>
        </w:rPr>
        <w:t>staff</w:t>
      </w:r>
      <w:r w:rsidRPr="00695A4A">
        <w:rPr>
          <w:rFonts w:eastAsia="Times New Roman" w:cs="Arial"/>
          <w:szCs w:val="20"/>
          <w:lang w:val="en-GB" w:eastAsia="en-GB"/>
        </w:rPr>
        <w:t xml:space="preserve">, students and visitors a safe workplace. </w:t>
      </w:r>
    </w:p>
    <w:p w14:paraId="587A2E02" w14:textId="77777777" w:rsidR="00942174" w:rsidRPr="008106B9" w:rsidRDefault="00942174" w:rsidP="00FD5633">
      <w:pPr>
        <w:pStyle w:val="ListParagraph"/>
        <w:numPr>
          <w:ilvl w:val="0"/>
          <w:numId w:val="24"/>
        </w:numPr>
        <w:spacing w:after="160" w:line="259" w:lineRule="auto"/>
        <w:jc w:val="both"/>
        <w:rPr>
          <w:rFonts w:eastAsia="Times New Roman" w:cs="Arial"/>
          <w:szCs w:val="20"/>
          <w:lang w:val="en-GB" w:eastAsia="en-GB"/>
        </w:rPr>
      </w:pPr>
      <w:r w:rsidRPr="00695A4A">
        <w:rPr>
          <w:rFonts w:eastAsia="Times New Roman" w:cs="Arial"/>
          <w:szCs w:val="20"/>
          <w:lang w:val="en-GB" w:eastAsia="en-GB"/>
        </w:rPr>
        <w:t xml:space="preserve">The University is committed to continuous improvement in the competency of all staff which requires continuous health and safety training programme. </w:t>
      </w:r>
    </w:p>
    <w:p w14:paraId="6243EA47" w14:textId="77777777" w:rsidR="00942174" w:rsidRPr="00695A4A" w:rsidRDefault="00942174" w:rsidP="00FD5633">
      <w:pPr>
        <w:pStyle w:val="ListParagraph"/>
        <w:numPr>
          <w:ilvl w:val="0"/>
          <w:numId w:val="24"/>
        </w:numPr>
        <w:spacing w:after="160" w:line="259" w:lineRule="auto"/>
        <w:jc w:val="both"/>
        <w:rPr>
          <w:rFonts w:eastAsia="Times New Roman" w:cs="Arial"/>
          <w:szCs w:val="20"/>
          <w:lang w:val="en-GB" w:eastAsia="en-GB"/>
        </w:rPr>
      </w:pPr>
      <w:r w:rsidRPr="00695A4A">
        <w:rPr>
          <w:rFonts w:eastAsia="Times New Roman" w:cs="Arial"/>
          <w:szCs w:val="20"/>
          <w:lang w:val="en-GB" w:eastAsia="en-GB"/>
        </w:rPr>
        <w:t xml:space="preserve">The University will ensure that health and safety training will be adequately supported and resourced. </w:t>
      </w:r>
    </w:p>
    <w:p w14:paraId="627F80AE" w14:textId="194C0996" w:rsidR="00942174" w:rsidRPr="00695A4A" w:rsidRDefault="00942174" w:rsidP="00FD5633">
      <w:pPr>
        <w:pStyle w:val="ListParagraph"/>
        <w:numPr>
          <w:ilvl w:val="0"/>
          <w:numId w:val="24"/>
        </w:numPr>
        <w:spacing w:after="160" w:line="259" w:lineRule="auto"/>
        <w:jc w:val="both"/>
        <w:rPr>
          <w:rFonts w:eastAsia="Times New Roman" w:cs="Arial"/>
          <w:szCs w:val="20"/>
          <w:lang w:val="en-GB" w:eastAsia="en-GB"/>
        </w:rPr>
      </w:pPr>
      <w:r w:rsidRPr="00695A4A">
        <w:rPr>
          <w:rFonts w:eastAsia="Times New Roman" w:cs="Arial"/>
          <w:szCs w:val="20"/>
          <w:lang w:val="en-GB" w:eastAsia="en-GB"/>
        </w:rPr>
        <w:t>The University, through its Heads of Schools/</w:t>
      </w:r>
      <w:r w:rsidR="00637E5C">
        <w:rPr>
          <w:rFonts w:eastAsia="Times New Roman" w:cs="Arial"/>
          <w:szCs w:val="20"/>
          <w:lang w:val="en-GB" w:eastAsia="en-GB"/>
        </w:rPr>
        <w:t>Function</w:t>
      </w:r>
      <w:r w:rsidRPr="00695A4A">
        <w:rPr>
          <w:rFonts w:eastAsia="Times New Roman" w:cs="Arial"/>
          <w:szCs w:val="20"/>
          <w:lang w:val="en-GB" w:eastAsia="en-GB"/>
        </w:rPr>
        <w:t xml:space="preserve"> will identify all the roles required in their School/</w:t>
      </w:r>
      <w:r w:rsidR="00637E5C">
        <w:rPr>
          <w:rFonts w:eastAsia="Times New Roman" w:cs="Arial"/>
          <w:szCs w:val="20"/>
          <w:lang w:val="en-GB" w:eastAsia="en-GB"/>
        </w:rPr>
        <w:t>Function</w:t>
      </w:r>
      <w:r w:rsidRPr="00695A4A">
        <w:rPr>
          <w:rFonts w:eastAsia="Times New Roman" w:cs="Arial"/>
          <w:szCs w:val="20"/>
          <w:lang w:val="en-GB" w:eastAsia="en-GB"/>
        </w:rPr>
        <w:t xml:space="preserve">. This will be used to identify the health and safety training that they will require to perform their activities as safely as is reasonably practicable. </w:t>
      </w:r>
    </w:p>
    <w:p w14:paraId="507879B6" w14:textId="25EC7B1C" w:rsidR="00942174" w:rsidRPr="00695A4A" w:rsidRDefault="00942174" w:rsidP="00FD5633">
      <w:pPr>
        <w:pStyle w:val="ListParagraph"/>
        <w:numPr>
          <w:ilvl w:val="0"/>
          <w:numId w:val="24"/>
        </w:numPr>
        <w:spacing w:after="160" w:line="259" w:lineRule="auto"/>
        <w:jc w:val="both"/>
        <w:rPr>
          <w:rFonts w:eastAsia="Times New Roman" w:cs="Arial"/>
          <w:szCs w:val="20"/>
          <w:lang w:val="en-GB" w:eastAsia="en-GB"/>
        </w:rPr>
      </w:pPr>
      <w:r w:rsidRPr="00695A4A">
        <w:rPr>
          <w:rFonts w:eastAsia="Times New Roman" w:cs="Arial"/>
          <w:szCs w:val="20"/>
          <w:lang w:val="en-GB" w:eastAsia="en-GB"/>
        </w:rPr>
        <w:t>The University will ensure that all new staff receive health and safety induction</w:t>
      </w:r>
      <w:r w:rsidR="004C56CA">
        <w:rPr>
          <w:rFonts w:eastAsia="Times New Roman" w:cs="Arial"/>
          <w:szCs w:val="20"/>
          <w:lang w:val="en-GB" w:eastAsia="en-GB"/>
        </w:rPr>
        <w:t>.</w:t>
      </w:r>
    </w:p>
    <w:p w14:paraId="38E2278A" w14:textId="005D928E" w:rsidR="00942174" w:rsidRPr="00695A4A" w:rsidRDefault="00942174" w:rsidP="00FD5633">
      <w:pPr>
        <w:pStyle w:val="ListParagraph"/>
        <w:numPr>
          <w:ilvl w:val="0"/>
          <w:numId w:val="24"/>
        </w:numPr>
        <w:spacing w:after="160" w:line="259" w:lineRule="auto"/>
        <w:jc w:val="both"/>
        <w:rPr>
          <w:rFonts w:eastAsia="Times New Roman" w:cs="Arial"/>
          <w:szCs w:val="20"/>
          <w:lang w:val="en-GB" w:eastAsia="en-GB"/>
        </w:rPr>
      </w:pPr>
      <w:r w:rsidRPr="00695A4A">
        <w:rPr>
          <w:rFonts w:eastAsia="Times New Roman" w:cs="Arial"/>
          <w:szCs w:val="20"/>
          <w:lang w:val="en-GB" w:eastAsia="en-GB"/>
        </w:rPr>
        <w:lastRenderedPageBreak/>
        <w:t>The University will ensure that fire safety</w:t>
      </w:r>
      <w:r w:rsidR="00FD5633">
        <w:rPr>
          <w:rFonts w:eastAsia="Times New Roman" w:cs="Arial"/>
          <w:szCs w:val="20"/>
          <w:lang w:val="en-GB" w:eastAsia="en-GB"/>
        </w:rPr>
        <w:t xml:space="preserve"> and emergency response</w:t>
      </w:r>
      <w:r w:rsidRPr="00695A4A">
        <w:rPr>
          <w:rFonts w:eastAsia="Times New Roman" w:cs="Arial"/>
          <w:szCs w:val="20"/>
          <w:lang w:val="en-GB" w:eastAsia="en-GB"/>
        </w:rPr>
        <w:t xml:space="preserve"> awareness training will be</w:t>
      </w:r>
      <w:r w:rsidR="00637E5C">
        <w:rPr>
          <w:rFonts w:eastAsia="Times New Roman" w:cs="Arial"/>
          <w:szCs w:val="20"/>
          <w:lang w:val="en-GB" w:eastAsia="en-GB"/>
        </w:rPr>
        <w:t xml:space="preserve"> required</w:t>
      </w:r>
      <w:r w:rsidRPr="00695A4A">
        <w:rPr>
          <w:rFonts w:eastAsia="Times New Roman" w:cs="Arial"/>
          <w:szCs w:val="20"/>
          <w:lang w:val="en-GB" w:eastAsia="en-GB"/>
        </w:rPr>
        <w:t xml:space="preserve"> for all staff.</w:t>
      </w:r>
    </w:p>
    <w:p w14:paraId="5713AC9A" w14:textId="11268CBC" w:rsidR="00942174" w:rsidRPr="00695A4A" w:rsidRDefault="00942174" w:rsidP="00FD5633">
      <w:pPr>
        <w:pStyle w:val="ListParagraph"/>
        <w:numPr>
          <w:ilvl w:val="0"/>
          <w:numId w:val="24"/>
        </w:numPr>
        <w:spacing w:after="160" w:line="259" w:lineRule="auto"/>
        <w:jc w:val="both"/>
        <w:rPr>
          <w:rFonts w:eastAsia="Times New Roman" w:cs="Arial"/>
          <w:szCs w:val="20"/>
          <w:lang w:val="en-GB" w:eastAsia="en-GB"/>
        </w:rPr>
      </w:pPr>
      <w:r w:rsidRPr="00695A4A">
        <w:rPr>
          <w:rFonts w:eastAsia="Times New Roman" w:cs="Arial"/>
          <w:szCs w:val="20"/>
          <w:lang w:val="en-GB" w:eastAsia="en-GB"/>
        </w:rPr>
        <w:t xml:space="preserve">The Head of School/ </w:t>
      </w:r>
      <w:r w:rsidR="00637E5C">
        <w:rPr>
          <w:rFonts w:eastAsia="Times New Roman" w:cs="Arial"/>
          <w:szCs w:val="20"/>
          <w:lang w:val="en-GB" w:eastAsia="en-GB"/>
        </w:rPr>
        <w:t>Function</w:t>
      </w:r>
      <w:r w:rsidRPr="00695A4A">
        <w:rPr>
          <w:rFonts w:eastAsia="Times New Roman" w:cs="Arial"/>
          <w:szCs w:val="20"/>
          <w:lang w:val="en-GB" w:eastAsia="en-GB"/>
        </w:rPr>
        <w:t xml:space="preserve"> with the aid of the Safety, Health and Welfare </w:t>
      </w:r>
      <w:r w:rsidR="00FD5633">
        <w:rPr>
          <w:rFonts w:eastAsia="Times New Roman" w:cs="Arial"/>
          <w:szCs w:val="20"/>
          <w:lang w:val="en-GB" w:eastAsia="en-GB"/>
        </w:rPr>
        <w:t>O</w:t>
      </w:r>
      <w:r>
        <w:rPr>
          <w:rFonts w:eastAsia="Times New Roman" w:cs="Arial"/>
          <w:szCs w:val="20"/>
          <w:lang w:val="en-GB" w:eastAsia="en-GB"/>
        </w:rPr>
        <w:t>ffice</w:t>
      </w:r>
      <w:r w:rsidRPr="00695A4A">
        <w:rPr>
          <w:rFonts w:eastAsia="Times New Roman" w:cs="Arial"/>
          <w:szCs w:val="20"/>
          <w:lang w:val="en-GB" w:eastAsia="en-GB"/>
        </w:rPr>
        <w:t xml:space="preserve"> and People </w:t>
      </w:r>
      <w:r w:rsidR="00FD5633">
        <w:rPr>
          <w:rFonts w:eastAsia="Times New Roman" w:cs="Arial"/>
          <w:szCs w:val="20"/>
          <w:lang w:val="en-GB" w:eastAsia="en-GB"/>
        </w:rPr>
        <w:t>D</w:t>
      </w:r>
      <w:r w:rsidRPr="00695A4A">
        <w:rPr>
          <w:rFonts w:eastAsia="Times New Roman" w:cs="Arial"/>
          <w:szCs w:val="20"/>
          <w:lang w:val="en-GB" w:eastAsia="en-GB"/>
        </w:rPr>
        <w:t xml:space="preserve">evelopment </w:t>
      </w:r>
      <w:r w:rsidR="00FD5633">
        <w:rPr>
          <w:rFonts w:eastAsia="Times New Roman" w:cs="Arial"/>
          <w:szCs w:val="20"/>
          <w:lang w:val="en-GB" w:eastAsia="en-GB"/>
        </w:rPr>
        <w:t xml:space="preserve">Office </w:t>
      </w:r>
      <w:r w:rsidRPr="00695A4A">
        <w:rPr>
          <w:rFonts w:eastAsia="Times New Roman" w:cs="Arial"/>
          <w:szCs w:val="20"/>
          <w:lang w:val="en-GB" w:eastAsia="en-GB"/>
        </w:rPr>
        <w:t xml:space="preserve">will identify specific training which would be regarded as </w:t>
      </w:r>
      <w:r w:rsidR="00637E5C">
        <w:rPr>
          <w:rFonts w:eastAsia="Times New Roman" w:cs="Arial"/>
          <w:szCs w:val="20"/>
          <w:lang w:val="en-GB" w:eastAsia="en-GB"/>
        </w:rPr>
        <w:t xml:space="preserve">required </w:t>
      </w:r>
      <w:r w:rsidRPr="00695A4A">
        <w:rPr>
          <w:rFonts w:eastAsia="Times New Roman" w:cs="Arial"/>
          <w:szCs w:val="20"/>
          <w:lang w:val="en-GB" w:eastAsia="en-GB"/>
        </w:rPr>
        <w:t xml:space="preserve">and which training will be regarded as highly recommended. Each School/ </w:t>
      </w:r>
      <w:r w:rsidR="004017EF">
        <w:rPr>
          <w:rFonts w:eastAsia="Times New Roman" w:cs="Arial"/>
          <w:szCs w:val="20"/>
          <w:lang w:val="en-GB" w:eastAsia="en-GB"/>
        </w:rPr>
        <w:t xml:space="preserve">Function </w:t>
      </w:r>
      <w:r w:rsidRPr="00695A4A">
        <w:rPr>
          <w:rFonts w:eastAsia="Times New Roman" w:cs="Arial"/>
          <w:szCs w:val="20"/>
          <w:lang w:val="en-GB" w:eastAsia="en-GB"/>
        </w:rPr>
        <w:t xml:space="preserve">will produce a training matrix which will identify the health and safety training requirements. </w:t>
      </w:r>
    </w:p>
    <w:p w14:paraId="28D17720" w14:textId="77777777" w:rsidR="00942174" w:rsidRPr="00695A4A" w:rsidRDefault="00942174" w:rsidP="00FD5633">
      <w:pPr>
        <w:pStyle w:val="ListParagraph"/>
        <w:numPr>
          <w:ilvl w:val="0"/>
          <w:numId w:val="24"/>
        </w:numPr>
        <w:spacing w:after="160" w:line="259" w:lineRule="auto"/>
        <w:jc w:val="both"/>
        <w:rPr>
          <w:rFonts w:eastAsia="Times New Roman" w:cs="Arial"/>
          <w:szCs w:val="20"/>
          <w:lang w:val="en-GB" w:eastAsia="en-GB"/>
        </w:rPr>
      </w:pPr>
      <w:r w:rsidRPr="00695A4A">
        <w:rPr>
          <w:rFonts w:eastAsia="Times New Roman" w:cs="Arial"/>
          <w:szCs w:val="20"/>
          <w:lang w:val="en-GB" w:eastAsia="en-GB"/>
        </w:rPr>
        <w:t xml:space="preserve">The University will ensure that health and safety training for specific roles will be provided. </w:t>
      </w:r>
    </w:p>
    <w:p w14:paraId="06D3BEAD" w14:textId="7EC16A4F" w:rsidR="00173F04" w:rsidRDefault="00942174" w:rsidP="00FD5633">
      <w:pPr>
        <w:pStyle w:val="ListParagraph"/>
        <w:numPr>
          <w:ilvl w:val="0"/>
          <w:numId w:val="24"/>
        </w:numPr>
        <w:spacing w:after="160" w:line="259" w:lineRule="auto"/>
        <w:jc w:val="both"/>
        <w:rPr>
          <w:rFonts w:eastAsia="Times New Roman" w:cs="Arial"/>
          <w:szCs w:val="20"/>
          <w:lang w:val="en-GB" w:eastAsia="en-GB"/>
        </w:rPr>
      </w:pPr>
      <w:r w:rsidRPr="00695A4A">
        <w:rPr>
          <w:rFonts w:eastAsia="Times New Roman" w:cs="Arial"/>
          <w:szCs w:val="20"/>
          <w:lang w:val="en-GB" w:eastAsia="en-GB"/>
        </w:rPr>
        <w:t xml:space="preserve">The Head of School/ </w:t>
      </w:r>
      <w:r w:rsidR="00637E5C">
        <w:rPr>
          <w:rFonts w:eastAsia="Times New Roman" w:cs="Arial"/>
          <w:szCs w:val="20"/>
          <w:lang w:val="en-GB" w:eastAsia="en-GB"/>
        </w:rPr>
        <w:t xml:space="preserve">Function </w:t>
      </w:r>
      <w:r w:rsidRPr="00695A4A">
        <w:rPr>
          <w:rFonts w:eastAsia="Times New Roman" w:cs="Arial"/>
          <w:szCs w:val="20"/>
          <w:lang w:val="en-GB" w:eastAsia="en-GB"/>
        </w:rPr>
        <w:t xml:space="preserve">will ensure that their staff undertake </w:t>
      </w:r>
      <w:r w:rsidR="00637E5C">
        <w:rPr>
          <w:rFonts w:eastAsia="Times New Roman" w:cs="Arial"/>
          <w:szCs w:val="20"/>
          <w:lang w:val="en-GB" w:eastAsia="en-GB"/>
        </w:rPr>
        <w:t xml:space="preserve">required </w:t>
      </w:r>
      <w:r w:rsidRPr="00695A4A">
        <w:rPr>
          <w:rFonts w:eastAsia="Times New Roman" w:cs="Arial"/>
          <w:szCs w:val="20"/>
          <w:lang w:val="en-GB" w:eastAsia="en-GB"/>
        </w:rPr>
        <w:t>and highly recommended health and safety training for specific roles. The Head will ensure that there is a process in place for monitoring completion of such courses</w:t>
      </w:r>
      <w:r w:rsidR="00173F04">
        <w:rPr>
          <w:rFonts w:eastAsia="Times New Roman" w:cs="Arial"/>
          <w:szCs w:val="20"/>
          <w:lang w:val="en-GB" w:eastAsia="en-GB"/>
        </w:rPr>
        <w:t>.</w:t>
      </w:r>
    </w:p>
    <w:p w14:paraId="0446A13B" w14:textId="238B62CA" w:rsidR="00D91A2C" w:rsidRPr="00173F04" w:rsidRDefault="00942174" w:rsidP="00FD5633">
      <w:pPr>
        <w:pStyle w:val="ListParagraph"/>
        <w:numPr>
          <w:ilvl w:val="0"/>
          <w:numId w:val="24"/>
        </w:numPr>
        <w:spacing w:after="160" w:line="259" w:lineRule="auto"/>
        <w:jc w:val="both"/>
        <w:rPr>
          <w:rFonts w:eastAsia="Times New Roman" w:cs="Arial"/>
          <w:szCs w:val="20"/>
          <w:lang w:val="en-GB" w:eastAsia="en-GB"/>
        </w:rPr>
      </w:pPr>
      <w:r w:rsidRPr="00173F04">
        <w:rPr>
          <w:rFonts w:cs="Arial"/>
          <w:szCs w:val="20"/>
        </w:rPr>
        <w:t>Each School/</w:t>
      </w:r>
      <w:r w:rsidR="00637E5C">
        <w:rPr>
          <w:rFonts w:cs="Arial"/>
          <w:szCs w:val="20"/>
        </w:rPr>
        <w:t xml:space="preserve">Function </w:t>
      </w:r>
      <w:r w:rsidRPr="00173F04">
        <w:rPr>
          <w:rFonts w:cs="Arial"/>
          <w:szCs w:val="20"/>
        </w:rPr>
        <w:t xml:space="preserve">will provide the statistics for health and safety training. This will include the percentage of staff completing </w:t>
      </w:r>
      <w:r w:rsidR="00637E5C">
        <w:rPr>
          <w:rFonts w:cs="Arial"/>
          <w:szCs w:val="20"/>
        </w:rPr>
        <w:t xml:space="preserve">required </w:t>
      </w:r>
      <w:r w:rsidRPr="00173F04">
        <w:rPr>
          <w:rFonts w:cs="Arial"/>
          <w:szCs w:val="20"/>
        </w:rPr>
        <w:t>courses, the percentage of those completing highly recommended courses etc.</w:t>
      </w:r>
    </w:p>
    <w:p w14:paraId="24A4189F" w14:textId="77777777" w:rsidR="00E95641" w:rsidRPr="00280173" w:rsidRDefault="00E95641" w:rsidP="00052CBB">
      <w:pPr>
        <w:pStyle w:val="Heading2"/>
      </w:pPr>
      <w:bookmarkStart w:id="19" w:name="_Toc135910059"/>
      <w:r>
        <w:t xml:space="preserve">6.3 </w:t>
      </w:r>
      <w:r w:rsidRPr="00280173">
        <w:t>Approval process</w:t>
      </w:r>
      <w:bookmarkEnd w:id="18"/>
      <w:bookmarkEnd w:id="19"/>
    </w:p>
    <w:p w14:paraId="46514A7A" w14:textId="7673BEFD" w:rsidR="00E95641" w:rsidRDefault="00E94703" w:rsidP="00E95641">
      <w:pPr>
        <w:rPr>
          <w:rFonts w:cs="Times"/>
        </w:rPr>
      </w:pPr>
      <w:r>
        <w:rPr>
          <w:rFonts w:cs="Times"/>
        </w:rPr>
        <w:t xml:space="preserve">This policy is reviewed by the University Safety, Health and Welfare </w:t>
      </w:r>
      <w:r w:rsidR="00FD5633">
        <w:rPr>
          <w:rFonts w:cs="Times"/>
        </w:rPr>
        <w:t xml:space="preserve">Steering </w:t>
      </w:r>
      <w:r>
        <w:rPr>
          <w:rFonts w:cs="Times"/>
        </w:rPr>
        <w:t xml:space="preserve">Committee who recommend it to the University Executive team for submission to Governing Body for final approval. </w:t>
      </w:r>
    </w:p>
    <w:p w14:paraId="37A3056F" w14:textId="77777777" w:rsidR="00E95641" w:rsidRDefault="00E95641" w:rsidP="00052CBB">
      <w:pPr>
        <w:pStyle w:val="Heading2"/>
      </w:pPr>
      <w:bookmarkStart w:id="20" w:name="_Toc68686776"/>
      <w:bookmarkStart w:id="21" w:name="_Toc135910060"/>
      <w:r>
        <w:t xml:space="preserve">6.4 </w:t>
      </w:r>
      <w:r w:rsidRPr="00280173">
        <w:t>Change Process</w:t>
      </w:r>
      <w:bookmarkEnd w:id="20"/>
      <w:bookmarkEnd w:id="21"/>
    </w:p>
    <w:p w14:paraId="19291E36" w14:textId="161167C0" w:rsidR="006537B3" w:rsidRPr="006537B3" w:rsidRDefault="006537B3" w:rsidP="006537B3">
      <w:pPr>
        <w:spacing w:after="0"/>
        <w:ind w:right="-326"/>
        <w:jc w:val="both"/>
        <w:rPr>
          <w:lang w:val="en-GB" w:eastAsia="en-GB"/>
        </w:rPr>
      </w:pPr>
      <w:r w:rsidRPr="006537B3">
        <w:rPr>
          <w:lang w:val="en-GB" w:eastAsia="en-GB"/>
        </w:rPr>
        <w:t xml:space="preserve">The Safety, Health and Welfare (SHW) Office and the People Development Office will facilitate appropriate audit procedures to be carried out on a regular basis so as to ensure </w:t>
      </w:r>
      <w:r w:rsidR="00FF70D8">
        <w:rPr>
          <w:lang w:val="en-GB" w:eastAsia="en-GB"/>
        </w:rPr>
        <w:t xml:space="preserve">the University continues to comply with the training </w:t>
      </w:r>
      <w:r w:rsidR="00FF70D8" w:rsidRPr="00695A4A">
        <w:rPr>
          <w:rFonts w:eastAsia="Times New Roman" w:cs="Arial"/>
          <w:szCs w:val="20"/>
          <w:lang w:val="en-GB" w:eastAsia="en-GB"/>
        </w:rPr>
        <w:t>requirement</w:t>
      </w:r>
      <w:r w:rsidR="00FF70D8">
        <w:rPr>
          <w:rFonts w:eastAsia="Times New Roman" w:cs="Arial"/>
          <w:szCs w:val="20"/>
          <w:lang w:val="en-GB" w:eastAsia="en-GB"/>
        </w:rPr>
        <w:t>s as</w:t>
      </w:r>
      <w:r w:rsidR="00FF70D8" w:rsidRPr="00695A4A">
        <w:rPr>
          <w:rFonts w:eastAsia="Times New Roman" w:cs="Arial"/>
          <w:szCs w:val="20"/>
          <w:lang w:val="en-GB" w:eastAsia="en-GB"/>
        </w:rPr>
        <w:t xml:space="preserve"> specified by the </w:t>
      </w:r>
      <w:r w:rsidR="00FF70D8" w:rsidRPr="004C56CA">
        <w:rPr>
          <w:rFonts w:eastAsia="Times New Roman" w:cs="Arial"/>
          <w:i/>
          <w:szCs w:val="20"/>
          <w:lang w:val="en-GB" w:eastAsia="en-GB"/>
        </w:rPr>
        <w:t>Safety, Health and Welfare at Work</w:t>
      </w:r>
      <w:r w:rsidR="00FF70D8" w:rsidRPr="00FD5633">
        <w:rPr>
          <w:rFonts w:asciiTheme="majorHAnsi" w:hAnsiTheme="majorHAnsi" w:cstheme="majorHAnsi"/>
          <w:i/>
        </w:rPr>
        <w:t xml:space="preserve"> </w:t>
      </w:r>
      <w:r w:rsidR="00FF70D8" w:rsidRPr="004C56CA">
        <w:rPr>
          <w:rFonts w:eastAsia="Times New Roman" w:cs="Arial"/>
          <w:i/>
          <w:szCs w:val="20"/>
          <w:lang w:val="en-GB" w:eastAsia="en-GB"/>
        </w:rPr>
        <w:t>Act, 2005 (the Act)</w:t>
      </w:r>
      <w:r w:rsidR="00FF70D8">
        <w:rPr>
          <w:rFonts w:eastAsia="Times New Roman" w:cs="Arial"/>
          <w:szCs w:val="20"/>
          <w:lang w:val="en-GB" w:eastAsia="en-GB"/>
        </w:rPr>
        <w:t xml:space="preserve"> </w:t>
      </w:r>
      <w:r w:rsidR="00FF70D8" w:rsidRPr="00695A4A">
        <w:rPr>
          <w:rFonts w:eastAsia="Times New Roman" w:cs="Arial"/>
          <w:szCs w:val="20"/>
          <w:lang w:val="en-GB" w:eastAsia="en-GB"/>
        </w:rPr>
        <w:t>and associated Regulations</w:t>
      </w:r>
      <w:r w:rsidRPr="006537B3">
        <w:rPr>
          <w:lang w:val="en-GB" w:eastAsia="en-GB"/>
        </w:rPr>
        <w:t xml:space="preserve">. The SHW Office and the People Development Office will carry out periodic reviews of this policy and will take into account changes in legislation, codes of practice, matters raised and any changes in work process, procedures </w:t>
      </w:r>
      <w:r w:rsidR="00FD5633">
        <w:rPr>
          <w:lang w:val="en-GB" w:eastAsia="en-GB"/>
        </w:rPr>
        <w:t xml:space="preserve">or lessons learned </w:t>
      </w:r>
      <w:r w:rsidRPr="006537B3">
        <w:rPr>
          <w:lang w:val="en-GB" w:eastAsia="en-GB"/>
        </w:rPr>
        <w:t>etc..</w:t>
      </w:r>
    </w:p>
    <w:p w14:paraId="5978ABD9" w14:textId="77777777" w:rsidR="00E95641" w:rsidRDefault="00E95641" w:rsidP="00E95641">
      <w:pPr>
        <w:spacing w:after="0"/>
        <w:rPr>
          <w:rFonts w:ascii="Calibri" w:eastAsia="Times New Roman" w:hAnsi="Calibri" w:cs="Calibri"/>
          <w:sz w:val="22"/>
          <w:szCs w:val="22"/>
          <w:lang w:val="en-GB" w:eastAsia="en-GB"/>
        </w:rPr>
      </w:pPr>
    </w:p>
    <w:p w14:paraId="05658073" w14:textId="77777777" w:rsidR="00E95641" w:rsidRDefault="00E95641" w:rsidP="00E95641">
      <w:pPr>
        <w:spacing w:after="0"/>
        <w:rPr>
          <w:rFonts w:ascii="Calibri" w:eastAsia="Times New Roman" w:hAnsi="Calibri" w:cs="Calibri"/>
          <w:sz w:val="22"/>
          <w:szCs w:val="22"/>
          <w:lang w:val="en-GB" w:eastAsia="en-GB"/>
        </w:rPr>
      </w:pPr>
    </w:p>
    <w:p w14:paraId="21FD5C60" w14:textId="77777777" w:rsidR="00E95641" w:rsidRDefault="00E95641" w:rsidP="00C15C46">
      <w:pPr>
        <w:pStyle w:val="Heading1"/>
      </w:pPr>
      <w:bookmarkStart w:id="22" w:name="_Toc68686777"/>
      <w:bookmarkStart w:id="23" w:name="_Toc135910061"/>
      <w:r w:rsidRPr="00CA40CA">
        <w:t>Related Documents</w:t>
      </w:r>
      <w:bookmarkEnd w:id="22"/>
      <w:bookmarkEnd w:id="23"/>
    </w:p>
    <w:p w14:paraId="0FCD82E1" w14:textId="77777777" w:rsidR="000D2694" w:rsidRPr="000D2694" w:rsidRDefault="000D2694" w:rsidP="000D2694"/>
    <w:p w14:paraId="7E7F3CC5" w14:textId="5601286C" w:rsidR="00B53AF1" w:rsidRPr="00793B9A" w:rsidRDefault="00793B9A" w:rsidP="00E95641">
      <w:pPr>
        <w:spacing w:after="0"/>
        <w:rPr>
          <w:rFonts w:eastAsia="Times New Roman" w:cs="Arial"/>
          <w:szCs w:val="22"/>
          <w:lang w:val="en-GB" w:eastAsia="en-GB"/>
        </w:rPr>
      </w:pPr>
      <w:r w:rsidRPr="00793B9A">
        <w:rPr>
          <w:rFonts w:eastAsia="Times New Roman" w:cs="Arial"/>
          <w:szCs w:val="22"/>
          <w:lang w:val="en-GB" w:eastAsia="en-GB"/>
        </w:rPr>
        <w:t>The following documents are related to this policy document. They include:</w:t>
      </w:r>
    </w:p>
    <w:p w14:paraId="724B48C6" w14:textId="77777777" w:rsidR="006537B3" w:rsidRDefault="006537B3" w:rsidP="004C56CA">
      <w:pPr>
        <w:spacing w:after="0"/>
        <w:rPr>
          <w:rFonts w:cs="Times"/>
        </w:rPr>
      </w:pPr>
    </w:p>
    <w:p w14:paraId="4D33D3D5" w14:textId="019405C8" w:rsidR="00E95641" w:rsidRDefault="006537B3" w:rsidP="00B53AF1">
      <w:pPr>
        <w:pStyle w:val="ListParagraph"/>
        <w:numPr>
          <w:ilvl w:val="1"/>
          <w:numId w:val="25"/>
        </w:numPr>
        <w:rPr>
          <w:rFonts w:cs="Times"/>
        </w:rPr>
      </w:pPr>
      <w:r w:rsidRPr="00B53AF1">
        <w:rPr>
          <w:rFonts w:cs="Times"/>
        </w:rPr>
        <w:t>TU Dublin Safety Statement</w:t>
      </w:r>
    </w:p>
    <w:p w14:paraId="0BC773FA" w14:textId="77777777" w:rsidR="001654B5" w:rsidRDefault="001654B5" w:rsidP="001654B5">
      <w:pPr>
        <w:pStyle w:val="ListParagraph"/>
        <w:numPr>
          <w:ilvl w:val="1"/>
          <w:numId w:val="25"/>
        </w:numPr>
        <w:rPr>
          <w:rFonts w:cs="Times"/>
        </w:rPr>
      </w:pPr>
      <w:r>
        <w:rPr>
          <w:rFonts w:cs="Times"/>
        </w:rPr>
        <w:t>Training Requirements</w:t>
      </w:r>
    </w:p>
    <w:p w14:paraId="30071F42" w14:textId="43383FCF" w:rsidR="000D2694" w:rsidRPr="001654B5" w:rsidRDefault="001654B5" w:rsidP="000D2694">
      <w:pPr>
        <w:pStyle w:val="ListParagraph"/>
        <w:numPr>
          <w:ilvl w:val="1"/>
          <w:numId w:val="25"/>
        </w:numPr>
        <w:rPr>
          <w:rFonts w:cs="Times"/>
        </w:rPr>
      </w:pPr>
      <w:r w:rsidRPr="00B53AF1">
        <w:rPr>
          <w:rFonts w:cs="Times"/>
        </w:rPr>
        <w:t>Overview</w:t>
      </w:r>
      <w:r>
        <w:rPr>
          <w:rFonts w:cs="Times"/>
        </w:rPr>
        <w:t xml:space="preserve"> and Frequency</w:t>
      </w:r>
      <w:r w:rsidRPr="00B53AF1">
        <w:rPr>
          <w:rFonts w:cs="Times"/>
        </w:rPr>
        <w:t xml:space="preserve"> of required training</w:t>
      </w:r>
    </w:p>
    <w:p w14:paraId="02C96EDD" w14:textId="77777777" w:rsidR="00B53AF1" w:rsidRDefault="00B53AF1" w:rsidP="00B53AF1">
      <w:pPr>
        <w:pStyle w:val="ListParagraph"/>
        <w:rPr>
          <w:rFonts w:cs="Times"/>
        </w:rPr>
      </w:pPr>
    </w:p>
    <w:p w14:paraId="04AECAE9" w14:textId="77777777" w:rsidR="00E95641" w:rsidRDefault="00E95641" w:rsidP="00C15C46">
      <w:pPr>
        <w:pStyle w:val="Heading1"/>
        <w:rPr>
          <w:lang w:val="ga-IE"/>
        </w:rPr>
      </w:pPr>
      <w:bookmarkStart w:id="24" w:name="_Toc68686780"/>
      <w:bookmarkStart w:id="25" w:name="_Toc135910062"/>
      <w:r>
        <w:rPr>
          <w:lang w:val="ga-IE"/>
        </w:rPr>
        <w:t>Document Management</w:t>
      </w:r>
      <w:bookmarkEnd w:id="24"/>
      <w:bookmarkEnd w:id="25"/>
    </w:p>
    <w:p w14:paraId="40AB1015" w14:textId="77777777" w:rsidR="00E95641" w:rsidRDefault="00E95641" w:rsidP="00E95641">
      <w:pPr>
        <w:rPr>
          <w:lang w:val="ga-IE"/>
        </w:rPr>
      </w:pPr>
    </w:p>
    <w:p w14:paraId="7D94D261" w14:textId="77777777" w:rsidR="00E95641" w:rsidRDefault="00C15C46" w:rsidP="00052CBB">
      <w:pPr>
        <w:pStyle w:val="Heading2"/>
      </w:pPr>
      <w:bookmarkStart w:id="26" w:name="_Toc68686781"/>
      <w:bookmarkStart w:id="27" w:name="_Toc135910063"/>
      <w:r>
        <w:t>9</w:t>
      </w:r>
      <w:r w:rsidR="00E95641">
        <w:t>.1 Version Control</w:t>
      </w:r>
      <w:bookmarkEnd w:id="26"/>
      <w:bookmarkEnd w:id="27"/>
    </w:p>
    <w:tbl>
      <w:tblPr>
        <w:tblW w:w="8518"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6"/>
        <w:gridCol w:w="3123"/>
        <w:gridCol w:w="1988"/>
        <w:gridCol w:w="2271"/>
      </w:tblGrid>
      <w:tr w:rsidR="00E95641" w:rsidRPr="009D5F43" w14:paraId="3D85F740" w14:textId="77777777" w:rsidTr="00052CBB">
        <w:trPr>
          <w:trHeight w:val="207"/>
        </w:trPr>
        <w:tc>
          <w:tcPr>
            <w:tcW w:w="1136" w:type="dxa"/>
            <w:shd w:val="clear" w:color="auto" w:fill="DEEAF6"/>
            <w:vAlign w:val="center"/>
          </w:tcPr>
          <w:p w14:paraId="5157BF36" w14:textId="77777777" w:rsidR="00E95641" w:rsidRPr="000729DB" w:rsidRDefault="00E95641" w:rsidP="00052CBB">
            <w:pPr>
              <w:pStyle w:val="Table"/>
              <w:spacing w:before="60" w:after="60"/>
              <w:jc w:val="center"/>
              <w:rPr>
                <w:rFonts w:ascii="Calibri" w:hAnsi="Calibri" w:cs="Calibri"/>
                <w:b/>
                <w:sz w:val="20"/>
                <w:szCs w:val="20"/>
              </w:rPr>
            </w:pPr>
            <w:r w:rsidRPr="000729DB">
              <w:rPr>
                <w:rFonts w:ascii="Calibri" w:hAnsi="Calibri" w:cs="Calibri"/>
                <w:b/>
                <w:sz w:val="20"/>
                <w:szCs w:val="20"/>
              </w:rPr>
              <w:t>VERSION</w:t>
            </w:r>
            <w:r>
              <w:rPr>
                <w:rFonts w:ascii="Calibri" w:hAnsi="Calibri" w:cs="Calibri"/>
                <w:b/>
                <w:sz w:val="20"/>
                <w:szCs w:val="20"/>
              </w:rPr>
              <w:t xml:space="preserve"> NUMBER</w:t>
            </w:r>
          </w:p>
        </w:tc>
        <w:tc>
          <w:tcPr>
            <w:tcW w:w="3123" w:type="dxa"/>
            <w:shd w:val="clear" w:color="auto" w:fill="DEEAF6"/>
            <w:vAlign w:val="center"/>
          </w:tcPr>
          <w:p w14:paraId="2E4F4AB8" w14:textId="270C9B99" w:rsidR="00E95641" w:rsidRDefault="00E95641" w:rsidP="00052CBB">
            <w:pPr>
              <w:pStyle w:val="Table"/>
              <w:spacing w:before="60" w:after="60"/>
              <w:jc w:val="center"/>
              <w:rPr>
                <w:rFonts w:ascii="Calibri" w:hAnsi="Calibri" w:cs="Calibri"/>
                <w:b/>
                <w:sz w:val="20"/>
                <w:szCs w:val="20"/>
              </w:rPr>
            </w:pPr>
            <w:r>
              <w:rPr>
                <w:rFonts w:ascii="Calibri" w:hAnsi="Calibri" w:cs="Calibri"/>
                <w:b/>
                <w:sz w:val="20"/>
                <w:szCs w:val="20"/>
              </w:rPr>
              <w:t>VERSION DESCRIPTI</w:t>
            </w:r>
            <w:r w:rsidR="004C56CA">
              <w:rPr>
                <w:rFonts w:ascii="Calibri" w:hAnsi="Calibri" w:cs="Calibri"/>
                <w:b/>
                <w:sz w:val="20"/>
                <w:szCs w:val="20"/>
              </w:rPr>
              <w:t>O</w:t>
            </w:r>
            <w:r>
              <w:rPr>
                <w:rFonts w:ascii="Calibri" w:hAnsi="Calibri" w:cs="Calibri"/>
                <w:b/>
                <w:sz w:val="20"/>
                <w:szCs w:val="20"/>
              </w:rPr>
              <w:t xml:space="preserve">N / </w:t>
            </w:r>
          </w:p>
          <w:p w14:paraId="32F22EFD" w14:textId="77777777" w:rsidR="00E95641" w:rsidRPr="000729DB" w:rsidRDefault="00E95641" w:rsidP="00052CBB">
            <w:pPr>
              <w:pStyle w:val="Table"/>
              <w:spacing w:before="60" w:after="60"/>
              <w:jc w:val="center"/>
              <w:rPr>
                <w:rFonts w:ascii="Calibri" w:hAnsi="Calibri" w:cs="Calibri"/>
                <w:b/>
                <w:sz w:val="20"/>
                <w:szCs w:val="20"/>
              </w:rPr>
            </w:pPr>
            <w:r w:rsidRPr="000729DB">
              <w:rPr>
                <w:rFonts w:ascii="Calibri" w:hAnsi="Calibri" w:cs="Calibri"/>
                <w:b/>
                <w:sz w:val="20"/>
                <w:szCs w:val="20"/>
              </w:rPr>
              <w:t>CHANGES MADE</w:t>
            </w:r>
          </w:p>
        </w:tc>
        <w:tc>
          <w:tcPr>
            <w:tcW w:w="1988" w:type="dxa"/>
            <w:shd w:val="clear" w:color="auto" w:fill="DEEAF6"/>
            <w:vAlign w:val="center"/>
          </w:tcPr>
          <w:p w14:paraId="100177F4" w14:textId="77777777" w:rsidR="00E95641" w:rsidRPr="000729DB" w:rsidRDefault="00E95641" w:rsidP="00052CBB">
            <w:pPr>
              <w:pStyle w:val="Table"/>
              <w:spacing w:before="60" w:after="60"/>
              <w:jc w:val="center"/>
              <w:rPr>
                <w:rFonts w:ascii="Calibri" w:hAnsi="Calibri" w:cs="Calibri"/>
                <w:b/>
                <w:sz w:val="20"/>
                <w:szCs w:val="20"/>
              </w:rPr>
            </w:pPr>
            <w:r w:rsidRPr="000729DB">
              <w:rPr>
                <w:rFonts w:ascii="Calibri" w:hAnsi="Calibri" w:cs="Calibri"/>
                <w:b/>
                <w:sz w:val="20"/>
                <w:szCs w:val="20"/>
              </w:rPr>
              <w:t>AUTHOR</w:t>
            </w:r>
          </w:p>
        </w:tc>
        <w:tc>
          <w:tcPr>
            <w:tcW w:w="2271" w:type="dxa"/>
            <w:shd w:val="clear" w:color="auto" w:fill="DEEAF6"/>
            <w:vAlign w:val="center"/>
          </w:tcPr>
          <w:p w14:paraId="23638F87" w14:textId="77777777" w:rsidR="00E95641" w:rsidRPr="000729DB" w:rsidRDefault="00E95641" w:rsidP="00052CBB">
            <w:pPr>
              <w:pStyle w:val="Table"/>
              <w:spacing w:before="60" w:after="60"/>
              <w:jc w:val="center"/>
              <w:rPr>
                <w:rFonts w:ascii="Calibri" w:hAnsi="Calibri" w:cs="Calibri"/>
                <w:b/>
                <w:sz w:val="20"/>
                <w:szCs w:val="20"/>
              </w:rPr>
            </w:pPr>
            <w:r w:rsidRPr="000729DB">
              <w:rPr>
                <w:rFonts w:ascii="Calibri" w:hAnsi="Calibri" w:cs="Calibri"/>
                <w:b/>
                <w:sz w:val="20"/>
                <w:szCs w:val="20"/>
              </w:rPr>
              <w:t>DATE</w:t>
            </w:r>
          </w:p>
        </w:tc>
      </w:tr>
      <w:tr w:rsidR="00E95641" w:rsidRPr="009D5F43" w14:paraId="35293414" w14:textId="77777777" w:rsidTr="00052CBB">
        <w:trPr>
          <w:trHeight w:val="207"/>
        </w:trPr>
        <w:tc>
          <w:tcPr>
            <w:tcW w:w="1136" w:type="dxa"/>
            <w:shd w:val="clear" w:color="auto" w:fill="FFFFFF"/>
            <w:vAlign w:val="center"/>
          </w:tcPr>
          <w:p w14:paraId="576B177C" w14:textId="77777777" w:rsidR="00E95641" w:rsidRPr="00BA79E6" w:rsidRDefault="00AB3D2B" w:rsidP="00052CBB">
            <w:pPr>
              <w:pStyle w:val="Table"/>
              <w:spacing w:before="60" w:after="60"/>
              <w:rPr>
                <w:rFonts w:ascii="Calibri" w:hAnsi="Calibri" w:cs="Calibri"/>
                <w:i/>
                <w:sz w:val="18"/>
                <w:szCs w:val="20"/>
              </w:rPr>
            </w:pPr>
            <w:r>
              <w:rPr>
                <w:rFonts w:ascii="Calibri" w:hAnsi="Calibri" w:cs="Calibri"/>
                <w:i/>
                <w:sz w:val="18"/>
                <w:szCs w:val="20"/>
              </w:rPr>
              <w:t>Rev 1.0</w:t>
            </w:r>
          </w:p>
        </w:tc>
        <w:tc>
          <w:tcPr>
            <w:tcW w:w="3123" w:type="dxa"/>
            <w:shd w:val="clear" w:color="auto" w:fill="FFFFFF"/>
            <w:vAlign w:val="center"/>
          </w:tcPr>
          <w:p w14:paraId="4270C398" w14:textId="77777777" w:rsidR="00E95641" w:rsidRPr="00BA79E6" w:rsidRDefault="00AB3D2B" w:rsidP="00052CBB">
            <w:pPr>
              <w:pStyle w:val="Table"/>
              <w:spacing w:before="60" w:after="60"/>
              <w:rPr>
                <w:rFonts w:ascii="Calibri" w:hAnsi="Calibri" w:cs="Calibri"/>
                <w:i/>
                <w:sz w:val="18"/>
                <w:szCs w:val="20"/>
              </w:rPr>
            </w:pPr>
            <w:r>
              <w:rPr>
                <w:rFonts w:ascii="Calibri" w:hAnsi="Calibri" w:cs="Calibri"/>
                <w:i/>
                <w:sz w:val="18"/>
                <w:szCs w:val="20"/>
              </w:rPr>
              <w:t>Initial Revision for TU Dublin (University wide)</w:t>
            </w:r>
          </w:p>
        </w:tc>
        <w:tc>
          <w:tcPr>
            <w:tcW w:w="1988" w:type="dxa"/>
            <w:shd w:val="clear" w:color="auto" w:fill="FFFFFF"/>
            <w:vAlign w:val="center"/>
          </w:tcPr>
          <w:p w14:paraId="7B0C65FF" w14:textId="77777777" w:rsidR="00E95641" w:rsidRPr="00BA79E6" w:rsidRDefault="00AB3D2B" w:rsidP="00052CBB">
            <w:pPr>
              <w:pStyle w:val="Table"/>
              <w:spacing w:before="60" w:after="60"/>
              <w:ind w:left="720"/>
              <w:rPr>
                <w:rFonts w:ascii="Calibri" w:hAnsi="Calibri" w:cs="Calibri"/>
                <w:i/>
                <w:sz w:val="18"/>
                <w:szCs w:val="20"/>
              </w:rPr>
            </w:pPr>
            <w:r>
              <w:rPr>
                <w:rFonts w:ascii="Calibri" w:hAnsi="Calibri" w:cs="Calibri"/>
                <w:i/>
                <w:sz w:val="18"/>
                <w:szCs w:val="20"/>
              </w:rPr>
              <w:t>Edel Niland</w:t>
            </w:r>
          </w:p>
        </w:tc>
        <w:tc>
          <w:tcPr>
            <w:tcW w:w="2271" w:type="dxa"/>
            <w:shd w:val="clear" w:color="auto" w:fill="FFFFFF"/>
            <w:vAlign w:val="center"/>
          </w:tcPr>
          <w:p w14:paraId="25B1E84A" w14:textId="77777777" w:rsidR="00E95641" w:rsidRPr="00BA79E6" w:rsidRDefault="00AB3D2B" w:rsidP="00052CBB">
            <w:pPr>
              <w:pStyle w:val="Table"/>
              <w:spacing w:before="60" w:after="60"/>
              <w:rPr>
                <w:rFonts w:ascii="Calibri" w:hAnsi="Calibri" w:cs="Calibri"/>
                <w:i/>
                <w:sz w:val="18"/>
                <w:szCs w:val="20"/>
              </w:rPr>
            </w:pPr>
            <w:r>
              <w:rPr>
                <w:rFonts w:ascii="Calibri" w:hAnsi="Calibri" w:cs="Calibri"/>
                <w:i/>
                <w:sz w:val="18"/>
                <w:szCs w:val="20"/>
              </w:rPr>
              <w:t>4</w:t>
            </w:r>
            <w:r w:rsidRPr="00AB3D2B">
              <w:rPr>
                <w:rFonts w:ascii="Calibri" w:hAnsi="Calibri" w:cs="Calibri"/>
                <w:i/>
                <w:sz w:val="18"/>
                <w:szCs w:val="20"/>
                <w:vertAlign w:val="superscript"/>
              </w:rPr>
              <w:t>th</w:t>
            </w:r>
            <w:r>
              <w:rPr>
                <w:rFonts w:ascii="Calibri" w:hAnsi="Calibri" w:cs="Calibri"/>
                <w:i/>
                <w:sz w:val="18"/>
                <w:szCs w:val="20"/>
              </w:rPr>
              <w:t xml:space="preserve"> April 2023</w:t>
            </w:r>
          </w:p>
        </w:tc>
      </w:tr>
      <w:tr w:rsidR="00E95641" w:rsidRPr="009D5F43" w14:paraId="58272013" w14:textId="77777777" w:rsidTr="00052CBB">
        <w:trPr>
          <w:trHeight w:val="207"/>
        </w:trPr>
        <w:tc>
          <w:tcPr>
            <w:tcW w:w="1136" w:type="dxa"/>
            <w:shd w:val="clear" w:color="auto" w:fill="FFFFFF"/>
            <w:vAlign w:val="center"/>
          </w:tcPr>
          <w:p w14:paraId="08BFAAE7" w14:textId="77777777" w:rsidR="00E95641" w:rsidRPr="00BA79E6" w:rsidRDefault="00E95641" w:rsidP="00052CBB">
            <w:pPr>
              <w:pStyle w:val="Table"/>
              <w:spacing w:before="60" w:after="60"/>
              <w:rPr>
                <w:rFonts w:ascii="Calibri" w:hAnsi="Calibri" w:cs="Calibri"/>
                <w:i/>
                <w:sz w:val="18"/>
                <w:szCs w:val="20"/>
              </w:rPr>
            </w:pPr>
          </w:p>
        </w:tc>
        <w:tc>
          <w:tcPr>
            <w:tcW w:w="3123" w:type="dxa"/>
            <w:shd w:val="clear" w:color="auto" w:fill="FFFFFF"/>
            <w:vAlign w:val="center"/>
          </w:tcPr>
          <w:p w14:paraId="3C0C05E8" w14:textId="77777777" w:rsidR="00E95641" w:rsidRPr="00BA79E6" w:rsidRDefault="00E95641" w:rsidP="00052CBB">
            <w:pPr>
              <w:pStyle w:val="Table"/>
              <w:spacing w:before="60" w:after="60"/>
              <w:rPr>
                <w:rFonts w:ascii="Calibri" w:hAnsi="Calibri" w:cs="Calibri"/>
                <w:i/>
                <w:sz w:val="18"/>
                <w:szCs w:val="20"/>
              </w:rPr>
            </w:pPr>
          </w:p>
        </w:tc>
        <w:tc>
          <w:tcPr>
            <w:tcW w:w="1988" w:type="dxa"/>
            <w:shd w:val="clear" w:color="auto" w:fill="FFFFFF"/>
            <w:vAlign w:val="center"/>
          </w:tcPr>
          <w:p w14:paraId="344B72A5" w14:textId="77777777" w:rsidR="00E95641" w:rsidRPr="00BA79E6" w:rsidRDefault="00E95641" w:rsidP="00052CBB">
            <w:pPr>
              <w:pStyle w:val="Table"/>
              <w:spacing w:before="60" w:after="60"/>
              <w:ind w:left="720"/>
              <w:rPr>
                <w:rFonts w:ascii="Calibri" w:hAnsi="Calibri" w:cs="Calibri"/>
                <w:i/>
                <w:sz w:val="18"/>
                <w:szCs w:val="20"/>
              </w:rPr>
            </w:pPr>
          </w:p>
        </w:tc>
        <w:tc>
          <w:tcPr>
            <w:tcW w:w="2271" w:type="dxa"/>
            <w:shd w:val="clear" w:color="auto" w:fill="FFFFFF"/>
            <w:vAlign w:val="center"/>
          </w:tcPr>
          <w:p w14:paraId="4D79E3DB" w14:textId="77777777" w:rsidR="00E95641" w:rsidRPr="00BA79E6" w:rsidRDefault="00E95641" w:rsidP="00052CBB">
            <w:pPr>
              <w:pStyle w:val="Table"/>
              <w:spacing w:before="60" w:after="60"/>
              <w:rPr>
                <w:rFonts w:ascii="Calibri" w:hAnsi="Calibri" w:cs="Calibri"/>
                <w:i/>
                <w:sz w:val="18"/>
                <w:szCs w:val="20"/>
              </w:rPr>
            </w:pPr>
          </w:p>
        </w:tc>
      </w:tr>
      <w:tr w:rsidR="00E95641" w:rsidRPr="009D5F43" w14:paraId="16586F1E" w14:textId="77777777" w:rsidTr="00052CBB">
        <w:trPr>
          <w:trHeight w:val="207"/>
        </w:trPr>
        <w:tc>
          <w:tcPr>
            <w:tcW w:w="1136" w:type="dxa"/>
            <w:shd w:val="clear" w:color="auto" w:fill="FFFFFF"/>
            <w:vAlign w:val="center"/>
          </w:tcPr>
          <w:p w14:paraId="700658BC" w14:textId="77777777" w:rsidR="00E95641" w:rsidRPr="00BA79E6" w:rsidRDefault="00E95641" w:rsidP="00052CBB">
            <w:pPr>
              <w:pStyle w:val="Table"/>
              <w:spacing w:before="60" w:after="60"/>
              <w:rPr>
                <w:rFonts w:ascii="Calibri" w:hAnsi="Calibri" w:cs="Calibri"/>
                <w:i/>
                <w:sz w:val="18"/>
                <w:szCs w:val="20"/>
              </w:rPr>
            </w:pPr>
          </w:p>
        </w:tc>
        <w:tc>
          <w:tcPr>
            <w:tcW w:w="3123" w:type="dxa"/>
            <w:shd w:val="clear" w:color="auto" w:fill="FFFFFF"/>
            <w:vAlign w:val="center"/>
          </w:tcPr>
          <w:p w14:paraId="3E870A5A" w14:textId="77777777" w:rsidR="00E95641" w:rsidRPr="00BA79E6" w:rsidRDefault="00E95641" w:rsidP="00052CBB">
            <w:pPr>
              <w:pStyle w:val="Table"/>
              <w:spacing w:before="60" w:after="60"/>
              <w:rPr>
                <w:rFonts w:ascii="Calibri" w:hAnsi="Calibri" w:cs="Calibri"/>
                <w:i/>
                <w:sz w:val="18"/>
                <w:szCs w:val="20"/>
              </w:rPr>
            </w:pPr>
          </w:p>
        </w:tc>
        <w:tc>
          <w:tcPr>
            <w:tcW w:w="1988" w:type="dxa"/>
            <w:shd w:val="clear" w:color="auto" w:fill="FFFFFF"/>
            <w:vAlign w:val="center"/>
          </w:tcPr>
          <w:p w14:paraId="5DA4E174" w14:textId="77777777" w:rsidR="00E95641" w:rsidRPr="00BA79E6" w:rsidRDefault="00E95641" w:rsidP="00052CBB">
            <w:pPr>
              <w:pStyle w:val="Table"/>
              <w:spacing w:before="60" w:after="60"/>
              <w:ind w:left="720"/>
              <w:rPr>
                <w:rFonts w:ascii="Calibri" w:hAnsi="Calibri" w:cs="Calibri"/>
                <w:i/>
                <w:sz w:val="18"/>
                <w:szCs w:val="20"/>
              </w:rPr>
            </w:pPr>
          </w:p>
        </w:tc>
        <w:tc>
          <w:tcPr>
            <w:tcW w:w="2271" w:type="dxa"/>
            <w:shd w:val="clear" w:color="auto" w:fill="FFFFFF"/>
            <w:vAlign w:val="center"/>
          </w:tcPr>
          <w:p w14:paraId="196A1947" w14:textId="77777777" w:rsidR="00E95641" w:rsidRPr="00BA79E6" w:rsidRDefault="00E95641" w:rsidP="00052CBB">
            <w:pPr>
              <w:pStyle w:val="Table"/>
              <w:spacing w:before="60" w:after="60"/>
              <w:rPr>
                <w:rFonts w:ascii="Calibri" w:hAnsi="Calibri" w:cs="Calibri"/>
                <w:i/>
                <w:sz w:val="18"/>
                <w:szCs w:val="20"/>
              </w:rPr>
            </w:pPr>
          </w:p>
        </w:tc>
      </w:tr>
    </w:tbl>
    <w:p w14:paraId="59AB9FD3" w14:textId="77777777" w:rsidR="00E95641" w:rsidRDefault="00E95641" w:rsidP="00E95641">
      <w:pPr>
        <w:rPr>
          <w:rFonts w:ascii="Gill Sans MT" w:eastAsia="Times New Roman" w:hAnsi="Gill Sans MT"/>
          <w:bCs/>
          <w:lang w:eastAsia="en-IE"/>
        </w:rPr>
      </w:pPr>
    </w:p>
    <w:p w14:paraId="281F37E6" w14:textId="77777777" w:rsidR="00E95641" w:rsidRPr="00791B5F" w:rsidRDefault="00C15C46" w:rsidP="00052CBB">
      <w:pPr>
        <w:pStyle w:val="Heading2"/>
      </w:pPr>
      <w:bookmarkStart w:id="28" w:name="_Toc68686782"/>
      <w:bookmarkStart w:id="29" w:name="_Toc135910064"/>
      <w:r w:rsidRPr="00791B5F">
        <w:t>9</w:t>
      </w:r>
      <w:r w:rsidR="00E95641" w:rsidRPr="00791B5F">
        <w:t>.2 Document Approval</w:t>
      </w:r>
      <w:bookmarkEnd w:id="28"/>
      <w:bookmarkEnd w:id="29"/>
    </w:p>
    <w:tbl>
      <w:tblPr>
        <w:tblW w:w="850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5"/>
        <w:gridCol w:w="3118"/>
        <w:gridCol w:w="4253"/>
      </w:tblGrid>
      <w:tr w:rsidR="00E95641" w:rsidRPr="00791B5F" w14:paraId="335B30DB" w14:textId="77777777" w:rsidTr="00052CBB">
        <w:trPr>
          <w:trHeight w:val="235"/>
        </w:trPr>
        <w:tc>
          <w:tcPr>
            <w:tcW w:w="1135" w:type="dxa"/>
            <w:shd w:val="clear" w:color="auto" w:fill="DEEAF6"/>
            <w:vAlign w:val="center"/>
          </w:tcPr>
          <w:p w14:paraId="50B028A7" w14:textId="77777777" w:rsidR="00E95641" w:rsidRPr="00791B5F" w:rsidRDefault="00E95641" w:rsidP="00052CBB">
            <w:pPr>
              <w:pStyle w:val="Table"/>
              <w:spacing w:before="60" w:after="60"/>
              <w:jc w:val="center"/>
              <w:rPr>
                <w:rFonts w:ascii="Calibri" w:hAnsi="Calibri" w:cs="Calibri"/>
                <w:b/>
                <w:sz w:val="20"/>
                <w:szCs w:val="20"/>
              </w:rPr>
            </w:pPr>
            <w:r w:rsidRPr="00791B5F">
              <w:rPr>
                <w:rFonts w:ascii="Calibri" w:hAnsi="Calibri" w:cs="Calibri"/>
                <w:b/>
                <w:sz w:val="20"/>
                <w:szCs w:val="20"/>
              </w:rPr>
              <w:t>VERSION NUMBER</w:t>
            </w:r>
          </w:p>
        </w:tc>
        <w:tc>
          <w:tcPr>
            <w:tcW w:w="3118" w:type="dxa"/>
            <w:shd w:val="clear" w:color="auto" w:fill="DEEAF6"/>
            <w:vAlign w:val="center"/>
          </w:tcPr>
          <w:p w14:paraId="11146E0E" w14:textId="77777777" w:rsidR="00E95641" w:rsidRPr="00791B5F" w:rsidRDefault="00E95641" w:rsidP="00052CBB">
            <w:pPr>
              <w:pStyle w:val="Table"/>
              <w:spacing w:before="60" w:after="60"/>
              <w:jc w:val="center"/>
              <w:rPr>
                <w:rFonts w:ascii="Calibri" w:hAnsi="Calibri" w:cs="Calibri"/>
                <w:b/>
                <w:sz w:val="20"/>
                <w:szCs w:val="20"/>
              </w:rPr>
            </w:pPr>
            <w:r w:rsidRPr="00791B5F">
              <w:rPr>
                <w:rFonts w:ascii="Calibri" w:hAnsi="Calibri" w:cs="Calibri"/>
                <w:b/>
                <w:sz w:val="20"/>
                <w:szCs w:val="20"/>
              </w:rPr>
              <w:t>APPROVAL DATE</w:t>
            </w:r>
          </w:p>
        </w:tc>
        <w:tc>
          <w:tcPr>
            <w:tcW w:w="4253" w:type="dxa"/>
            <w:shd w:val="clear" w:color="auto" w:fill="DEEAF6"/>
            <w:vAlign w:val="center"/>
          </w:tcPr>
          <w:p w14:paraId="57CECB54" w14:textId="77777777" w:rsidR="00E95641" w:rsidRPr="00791B5F" w:rsidRDefault="00E95641" w:rsidP="00052CBB">
            <w:pPr>
              <w:pStyle w:val="Table"/>
              <w:spacing w:before="60" w:after="60"/>
              <w:jc w:val="center"/>
              <w:rPr>
                <w:rFonts w:ascii="Calibri" w:hAnsi="Calibri" w:cs="Calibri"/>
                <w:b/>
                <w:sz w:val="20"/>
                <w:szCs w:val="20"/>
              </w:rPr>
            </w:pPr>
            <w:r w:rsidRPr="00791B5F">
              <w:rPr>
                <w:rFonts w:ascii="Calibri" w:hAnsi="Calibri" w:cs="Calibri"/>
                <w:b/>
                <w:sz w:val="20"/>
                <w:szCs w:val="20"/>
              </w:rPr>
              <w:t>APPROVED BY (NAME AND ROLE)</w:t>
            </w:r>
          </w:p>
        </w:tc>
      </w:tr>
      <w:tr w:rsidR="00E95641" w:rsidRPr="00791B5F" w14:paraId="6344685E" w14:textId="77777777" w:rsidTr="00052CBB">
        <w:trPr>
          <w:trHeight w:val="235"/>
        </w:trPr>
        <w:tc>
          <w:tcPr>
            <w:tcW w:w="1135" w:type="dxa"/>
            <w:shd w:val="clear" w:color="auto" w:fill="FFFFFF"/>
            <w:vAlign w:val="center"/>
          </w:tcPr>
          <w:p w14:paraId="4C6E0525" w14:textId="77777777" w:rsidR="00E95641" w:rsidRPr="00791B5F" w:rsidRDefault="00F6408C" w:rsidP="00052CBB">
            <w:pPr>
              <w:pStyle w:val="Table"/>
              <w:spacing w:before="60" w:after="60"/>
              <w:rPr>
                <w:rFonts w:ascii="Calibri" w:hAnsi="Calibri" w:cs="Calibri"/>
                <w:i/>
                <w:sz w:val="18"/>
                <w:szCs w:val="20"/>
              </w:rPr>
            </w:pPr>
            <w:r w:rsidRPr="00791B5F">
              <w:rPr>
                <w:rFonts w:ascii="Calibri" w:hAnsi="Calibri" w:cs="Calibri"/>
                <w:i/>
                <w:sz w:val="18"/>
                <w:szCs w:val="20"/>
              </w:rPr>
              <w:t>Rev 1.0</w:t>
            </w:r>
          </w:p>
        </w:tc>
        <w:tc>
          <w:tcPr>
            <w:tcW w:w="3118" w:type="dxa"/>
            <w:shd w:val="clear" w:color="auto" w:fill="FFFFFF"/>
            <w:vAlign w:val="center"/>
          </w:tcPr>
          <w:p w14:paraId="33C83023" w14:textId="15C357CC" w:rsidR="00E95641" w:rsidRPr="00791B5F" w:rsidRDefault="00637E5C" w:rsidP="00052CBB">
            <w:pPr>
              <w:pStyle w:val="Table"/>
              <w:spacing w:before="60" w:after="60"/>
              <w:rPr>
                <w:rFonts w:ascii="Calibri" w:hAnsi="Calibri" w:cs="Calibri"/>
                <w:i/>
                <w:sz w:val="18"/>
                <w:szCs w:val="20"/>
              </w:rPr>
            </w:pPr>
            <w:r w:rsidRPr="00791B5F">
              <w:rPr>
                <w:rFonts w:ascii="Calibri" w:hAnsi="Calibri" w:cs="Calibri"/>
                <w:i/>
                <w:sz w:val="18"/>
                <w:szCs w:val="20"/>
              </w:rPr>
              <w:t>17</w:t>
            </w:r>
            <w:r w:rsidRPr="00791B5F">
              <w:rPr>
                <w:rFonts w:ascii="Calibri" w:hAnsi="Calibri" w:cs="Calibri"/>
                <w:i/>
                <w:sz w:val="18"/>
                <w:szCs w:val="20"/>
                <w:vertAlign w:val="superscript"/>
              </w:rPr>
              <w:t>th</w:t>
            </w:r>
            <w:r w:rsidRPr="00791B5F">
              <w:rPr>
                <w:rFonts w:ascii="Calibri" w:hAnsi="Calibri" w:cs="Calibri"/>
                <w:i/>
                <w:sz w:val="18"/>
                <w:szCs w:val="20"/>
              </w:rPr>
              <w:t xml:space="preserve"> April 2023</w:t>
            </w:r>
          </w:p>
        </w:tc>
        <w:tc>
          <w:tcPr>
            <w:tcW w:w="4253" w:type="dxa"/>
            <w:shd w:val="clear" w:color="auto" w:fill="FFFFFF"/>
            <w:vAlign w:val="center"/>
          </w:tcPr>
          <w:p w14:paraId="21EB846F" w14:textId="77777777" w:rsidR="00E95641" w:rsidRPr="00791B5F" w:rsidRDefault="00F6408C" w:rsidP="00F6408C">
            <w:pPr>
              <w:pStyle w:val="Table"/>
              <w:spacing w:before="60" w:after="60"/>
              <w:rPr>
                <w:rFonts w:ascii="Calibri" w:hAnsi="Calibri" w:cs="Calibri"/>
                <w:i/>
                <w:sz w:val="18"/>
                <w:szCs w:val="20"/>
              </w:rPr>
            </w:pPr>
            <w:r w:rsidRPr="00791B5F">
              <w:rPr>
                <w:rFonts w:ascii="Calibri" w:hAnsi="Calibri" w:cs="Calibri"/>
                <w:i/>
                <w:sz w:val="18"/>
                <w:szCs w:val="20"/>
              </w:rPr>
              <w:t>University Safety, Health and Welfare Committee</w:t>
            </w:r>
          </w:p>
        </w:tc>
      </w:tr>
      <w:tr w:rsidR="00791B5F" w:rsidRPr="00791B5F" w14:paraId="0D3D489E" w14:textId="77777777" w:rsidTr="00052CBB">
        <w:trPr>
          <w:trHeight w:val="235"/>
        </w:trPr>
        <w:tc>
          <w:tcPr>
            <w:tcW w:w="1135" w:type="dxa"/>
            <w:shd w:val="clear" w:color="auto" w:fill="FFFFFF"/>
            <w:vAlign w:val="center"/>
          </w:tcPr>
          <w:p w14:paraId="5264DA61" w14:textId="71E8B69B" w:rsidR="00791B5F" w:rsidRPr="00791B5F" w:rsidRDefault="00791B5F" w:rsidP="00791B5F">
            <w:pPr>
              <w:pStyle w:val="Table"/>
              <w:spacing w:before="60" w:after="60"/>
              <w:rPr>
                <w:rFonts w:ascii="Calibri" w:hAnsi="Calibri" w:cs="Calibri"/>
                <w:i/>
                <w:sz w:val="18"/>
                <w:szCs w:val="20"/>
              </w:rPr>
            </w:pPr>
            <w:r w:rsidRPr="00791B5F">
              <w:rPr>
                <w:rFonts w:ascii="Calibri" w:hAnsi="Calibri" w:cs="Calibri"/>
                <w:i/>
                <w:sz w:val="18"/>
                <w:szCs w:val="20"/>
              </w:rPr>
              <w:t>Rev 2</w:t>
            </w:r>
            <w:r>
              <w:rPr>
                <w:rFonts w:ascii="Calibri" w:hAnsi="Calibri" w:cs="Calibri"/>
                <w:i/>
                <w:sz w:val="18"/>
                <w:szCs w:val="20"/>
              </w:rPr>
              <w:t>.0</w:t>
            </w:r>
          </w:p>
        </w:tc>
        <w:tc>
          <w:tcPr>
            <w:tcW w:w="3118" w:type="dxa"/>
            <w:shd w:val="clear" w:color="auto" w:fill="FFFFFF"/>
          </w:tcPr>
          <w:p w14:paraId="021A9B3A" w14:textId="549A2E72" w:rsidR="00791B5F" w:rsidRPr="00791B5F" w:rsidRDefault="00791B5F" w:rsidP="00791B5F">
            <w:pPr>
              <w:pStyle w:val="Table"/>
              <w:spacing w:before="60" w:after="60"/>
              <w:rPr>
                <w:rFonts w:ascii="Calibri" w:hAnsi="Calibri" w:cs="Calibri"/>
                <w:i/>
                <w:sz w:val="18"/>
                <w:szCs w:val="20"/>
              </w:rPr>
            </w:pPr>
            <w:r>
              <w:rPr>
                <w:rFonts w:ascii="Calibri" w:hAnsi="Calibri" w:cs="Calibri"/>
                <w:i/>
                <w:sz w:val="18"/>
                <w:szCs w:val="20"/>
              </w:rPr>
              <w:t>30</w:t>
            </w:r>
            <w:r w:rsidRPr="00791B5F">
              <w:rPr>
                <w:rFonts w:ascii="Calibri" w:hAnsi="Calibri" w:cs="Calibri"/>
                <w:i/>
                <w:sz w:val="18"/>
                <w:szCs w:val="20"/>
                <w:vertAlign w:val="superscript"/>
              </w:rPr>
              <w:t>th</w:t>
            </w:r>
            <w:r>
              <w:rPr>
                <w:rFonts w:ascii="Calibri" w:hAnsi="Calibri" w:cs="Calibri"/>
                <w:i/>
                <w:sz w:val="18"/>
                <w:szCs w:val="20"/>
              </w:rPr>
              <w:t xml:space="preserve"> May 2023</w:t>
            </w:r>
          </w:p>
        </w:tc>
        <w:tc>
          <w:tcPr>
            <w:tcW w:w="4253" w:type="dxa"/>
            <w:shd w:val="clear" w:color="auto" w:fill="FFFFFF"/>
            <w:vAlign w:val="center"/>
          </w:tcPr>
          <w:p w14:paraId="51C1A755" w14:textId="5097EE7E" w:rsidR="00791B5F" w:rsidRPr="00791B5F" w:rsidRDefault="00791B5F" w:rsidP="00791B5F">
            <w:pPr>
              <w:pStyle w:val="Table"/>
              <w:spacing w:before="60" w:after="60"/>
              <w:rPr>
                <w:rFonts w:ascii="Calibri" w:hAnsi="Calibri" w:cs="Calibri"/>
                <w:i/>
                <w:sz w:val="18"/>
                <w:szCs w:val="20"/>
              </w:rPr>
            </w:pPr>
            <w:r w:rsidRPr="00791B5F">
              <w:rPr>
                <w:rFonts w:ascii="Calibri" w:hAnsi="Calibri" w:cs="Calibri"/>
                <w:i/>
                <w:sz w:val="18"/>
                <w:szCs w:val="20"/>
              </w:rPr>
              <w:t>Governing Body Finance and Property Committee</w:t>
            </w:r>
          </w:p>
        </w:tc>
      </w:tr>
      <w:tr w:rsidR="00791B5F" w:rsidRPr="00791B5F" w14:paraId="3E19A91E" w14:textId="77777777" w:rsidTr="00052CBB">
        <w:trPr>
          <w:trHeight w:val="235"/>
        </w:trPr>
        <w:tc>
          <w:tcPr>
            <w:tcW w:w="1135" w:type="dxa"/>
            <w:shd w:val="clear" w:color="auto" w:fill="FFFFFF"/>
            <w:vAlign w:val="center"/>
          </w:tcPr>
          <w:p w14:paraId="03178CA0" w14:textId="770995FB" w:rsidR="00791B5F" w:rsidRPr="00791B5F" w:rsidRDefault="00791B5F" w:rsidP="00791B5F">
            <w:pPr>
              <w:pStyle w:val="Table"/>
              <w:spacing w:before="60" w:after="60"/>
              <w:rPr>
                <w:rFonts w:ascii="Calibri" w:hAnsi="Calibri" w:cs="Calibri"/>
                <w:i/>
                <w:sz w:val="18"/>
                <w:szCs w:val="20"/>
              </w:rPr>
            </w:pPr>
            <w:r>
              <w:rPr>
                <w:rFonts w:ascii="Calibri" w:hAnsi="Calibri" w:cs="Calibri"/>
                <w:i/>
                <w:sz w:val="18"/>
                <w:szCs w:val="20"/>
              </w:rPr>
              <w:t>Rev 2.0</w:t>
            </w:r>
          </w:p>
        </w:tc>
        <w:tc>
          <w:tcPr>
            <w:tcW w:w="3118" w:type="dxa"/>
            <w:shd w:val="clear" w:color="auto" w:fill="FFFFFF"/>
          </w:tcPr>
          <w:p w14:paraId="397A8495" w14:textId="61B97713" w:rsidR="00791B5F" w:rsidRPr="00791B5F" w:rsidRDefault="00791B5F" w:rsidP="00791B5F">
            <w:pPr>
              <w:pStyle w:val="Table"/>
              <w:spacing w:before="60" w:after="60"/>
              <w:rPr>
                <w:rFonts w:ascii="Calibri" w:hAnsi="Calibri" w:cs="Calibri"/>
                <w:i/>
                <w:sz w:val="18"/>
                <w:szCs w:val="20"/>
              </w:rPr>
            </w:pPr>
            <w:r>
              <w:rPr>
                <w:rFonts w:ascii="Calibri" w:hAnsi="Calibri" w:cs="Calibri"/>
                <w:i/>
                <w:sz w:val="18"/>
                <w:szCs w:val="20"/>
              </w:rPr>
              <w:t>7</w:t>
            </w:r>
            <w:r w:rsidRPr="00791B5F">
              <w:rPr>
                <w:rFonts w:ascii="Calibri" w:hAnsi="Calibri" w:cs="Calibri"/>
                <w:i/>
                <w:sz w:val="18"/>
                <w:szCs w:val="20"/>
                <w:vertAlign w:val="superscript"/>
              </w:rPr>
              <w:t>th</w:t>
            </w:r>
            <w:r>
              <w:rPr>
                <w:rFonts w:ascii="Calibri" w:hAnsi="Calibri" w:cs="Calibri"/>
                <w:i/>
                <w:sz w:val="18"/>
                <w:szCs w:val="20"/>
              </w:rPr>
              <w:t xml:space="preserve"> July 2023</w:t>
            </w:r>
          </w:p>
        </w:tc>
        <w:tc>
          <w:tcPr>
            <w:tcW w:w="4253" w:type="dxa"/>
            <w:shd w:val="clear" w:color="auto" w:fill="FFFFFF"/>
            <w:vAlign w:val="center"/>
          </w:tcPr>
          <w:p w14:paraId="2C3D1349" w14:textId="45CBAEE0" w:rsidR="00791B5F" w:rsidRPr="00791B5F" w:rsidRDefault="00791B5F" w:rsidP="00791B5F">
            <w:pPr>
              <w:pStyle w:val="Table"/>
              <w:spacing w:before="60" w:after="60"/>
              <w:rPr>
                <w:rFonts w:ascii="Calibri" w:hAnsi="Calibri" w:cs="Calibri"/>
                <w:i/>
                <w:sz w:val="18"/>
                <w:szCs w:val="20"/>
              </w:rPr>
            </w:pPr>
            <w:r w:rsidRPr="00791B5F">
              <w:rPr>
                <w:rFonts w:ascii="Calibri" w:hAnsi="Calibri" w:cs="Calibri"/>
                <w:i/>
                <w:sz w:val="18"/>
                <w:szCs w:val="20"/>
              </w:rPr>
              <w:t xml:space="preserve">Governing Body </w:t>
            </w:r>
          </w:p>
        </w:tc>
      </w:tr>
      <w:tr w:rsidR="00791B5F" w:rsidRPr="009D5F43" w14:paraId="4A107417" w14:textId="77777777" w:rsidTr="00052CBB">
        <w:trPr>
          <w:trHeight w:val="235"/>
        </w:trPr>
        <w:tc>
          <w:tcPr>
            <w:tcW w:w="1135" w:type="dxa"/>
            <w:shd w:val="clear" w:color="auto" w:fill="FFFFFF"/>
            <w:vAlign w:val="center"/>
          </w:tcPr>
          <w:p w14:paraId="7979B651" w14:textId="77777777" w:rsidR="00791B5F" w:rsidRPr="00791B5F" w:rsidRDefault="00791B5F" w:rsidP="00791B5F">
            <w:pPr>
              <w:pStyle w:val="Table"/>
              <w:spacing w:before="60" w:after="60"/>
              <w:rPr>
                <w:rFonts w:ascii="Calibri" w:hAnsi="Calibri" w:cs="Calibri"/>
                <w:i/>
                <w:sz w:val="18"/>
                <w:szCs w:val="20"/>
              </w:rPr>
            </w:pPr>
          </w:p>
        </w:tc>
        <w:tc>
          <w:tcPr>
            <w:tcW w:w="3118" w:type="dxa"/>
            <w:shd w:val="clear" w:color="auto" w:fill="FFFFFF"/>
          </w:tcPr>
          <w:p w14:paraId="4D543A23" w14:textId="7F166D23" w:rsidR="00791B5F" w:rsidRPr="00791B5F" w:rsidRDefault="00791B5F" w:rsidP="00791B5F">
            <w:pPr>
              <w:pStyle w:val="Table"/>
              <w:spacing w:before="60" w:after="60"/>
              <w:rPr>
                <w:rFonts w:ascii="Calibri" w:hAnsi="Calibri" w:cs="Calibri"/>
                <w:i/>
                <w:sz w:val="18"/>
                <w:szCs w:val="20"/>
              </w:rPr>
            </w:pPr>
          </w:p>
        </w:tc>
        <w:tc>
          <w:tcPr>
            <w:tcW w:w="4253" w:type="dxa"/>
            <w:shd w:val="clear" w:color="auto" w:fill="FFFFFF"/>
            <w:vAlign w:val="center"/>
          </w:tcPr>
          <w:p w14:paraId="33471C2B" w14:textId="3200A869" w:rsidR="00791B5F" w:rsidRDefault="00791B5F" w:rsidP="00791B5F">
            <w:pPr>
              <w:pStyle w:val="Table"/>
              <w:spacing w:before="60" w:after="60"/>
              <w:rPr>
                <w:rFonts w:ascii="Calibri" w:hAnsi="Calibri" w:cs="Calibri"/>
                <w:i/>
                <w:sz w:val="18"/>
                <w:szCs w:val="20"/>
              </w:rPr>
            </w:pPr>
          </w:p>
        </w:tc>
      </w:tr>
    </w:tbl>
    <w:p w14:paraId="7442615B" w14:textId="77777777" w:rsidR="00E95641" w:rsidRPr="00200A90" w:rsidRDefault="00E95641" w:rsidP="00E95641">
      <w:pPr>
        <w:rPr>
          <w:rFonts w:eastAsia="Times New Roman"/>
          <w:bCs/>
          <w:lang w:eastAsia="en-IE"/>
        </w:rPr>
      </w:pPr>
    </w:p>
    <w:p w14:paraId="319DD972" w14:textId="77777777" w:rsidR="00E95641" w:rsidRPr="006D1B4A" w:rsidRDefault="00C15C46" w:rsidP="00052CBB">
      <w:pPr>
        <w:pStyle w:val="Heading2"/>
      </w:pPr>
      <w:bookmarkStart w:id="30" w:name="_Toc68686783"/>
      <w:bookmarkStart w:id="31" w:name="_Toc135910065"/>
      <w:r>
        <w:t>9</w:t>
      </w:r>
      <w:r w:rsidR="00E95641">
        <w:t xml:space="preserve">.3 </w:t>
      </w:r>
      <w:r w:rsidR="00E95641" w:rsidRPr="006D1B4A">
        <w:t>Document Ownership</w:t>
      </w:r>
      <w:bookmarkEnd w:id="30"/>
      <w:bookmarkEnd w:id="31"/>
      <w:r w:rsidR="00E95641" w:rsidRPr="006D1B4A">
        <w:t xml:space="preserve"> </w:t>
      </w:r>
    </w:p>
    <w:p w14:paraId="4750746E" w14:textId="09CD09E0" w:rsidR="00E95641" w:rsidRPr="00B866EE" w:rsidRDefault="00C15C46" w:rsidP="004C56CA">
      <w:pPr>
        <w:autoSpaceDE w:val="0"/>
        <w:autoSpaceDN w:val="0"/>
        <w:adjustRightInd w:val="0"/>
        <w:spacing w:after="0"/>
        <w:jc w:val="both"/>
        <w:rPr>
          <w:rFonts w:cs="Times"/>
          <w:color w:val="4F6128"/>
        </w:rPr>
      </w:pPr>
      <w:r>
        <w:t>Accountability to defining, developing, monitoring and updating the content of this document rests within Governance and Compliance.</w:t>
      </w:r>
    </w:p>
    <w:p w14:paraId="748F7274" w14:textId="77777777" w:rsidR="00E95641" w:rsidRPr="006D1B4A" w:rsidRDefault="00C15C46" w:rsidP="001654B5">
      <w:pPr>
        <w:pStyle w:val="Heading2"/>
        <w:jc w:val="both"/>
      </w:pPr>
      <w:bookmarkStart w:id="32" w:name="_Toc68686784"/>
      <w:bookmarkStart w:id="33" w:name="_Toc135910066"/>
      <w:r>
        <w:t>9</w:t>
      </w:r>
      <w:r w:rsidR="00E95641">
        <w:t xml:space="preserve">.4 </w:t>
      </w:r>
      <w:r w:rsidR="00E95641" w:rsidRPr="006D1B4A">
        <w:t>Document Review</w:t>
      </w:r>
      <w:bookmarkEnd w:id="32"/>
      <w:bookmarkEnd w:id="33"/>
      <w:r w:rsidR="00E95641">
        <w:t xml:space="preserve"> </w:t>
      </w:r>
    </w:p>
    <w:p w14:paraId="3E26CBD2" w14:textId="1780A37E" w:rsidR="00E95641" w:rsidRDefault="00C15C46" w:rsidP="001654B5">
      <w:pPr>
        <w:autoSpaceDE w:val="0"/>
        <w:autoSpaceDN w:val="0"/>
        <w:adjustRightInd w:val="0"/>
        <w:spacing w:after="0"/>
        <w:jc w:val="both"/>
        <w:rPr>
          <w:rFonts w:cs="Times"/>
        </w:rPr>
      </w:pPr>
      <w:r>
        <w:t xml:space="preserve">The Head of Governance and Compliance is accountable to review this document in consultation with relevant stakeholders. This document should be approved by the </w:t>
      </w:r>
      <w:r w:rsidR="00AB3D2B">
        <w:t>University Safety, Health and Welfare Committee</w:t>
      </w:r>
      <w:r>
        <w:t>, the University Executive Team and Governing Body</w:t>
      </w:r>
      <w:r w:rsidR="00C6194F">
        <w:rPr>
          <w:rFonts w:cs="Times"/>
        </w:rPr>
        <w:t>.</w:t>
      </w:r>
    </w:p>
    <w:p w14:paraId="7165FE8B" w14:textId="77777777" w:rsidR="00E95641" w:rsidRDefault="00E95641" w:rsidP="001654B5">
      <w:pPr>
        <w:autoSpaceDE w:val="0"/>
        <w:autoSpaceDN w:val="0"/>
        <w:adjustRightInd w:val="0"/>
        <w:spacing w:after="0"/>
        <w:jc w:val="both"/>
        <w:rPr>
          <w:rFonts w:cs="Times"/>
        </w:rPr>
      </w:pPr>
    </w:p>
    <w:p w14:paraId="70E310BB" w14:textId="77777777" w:rsidR="00E95641" w:rsidRDefault="00C15C46" w:rsidP="001654B5">
      <w:pPr>
        <w:pStyle w:val="Heading2"/>
        <w:spacing w:before="0" w:after="0"/>
        <w:jc w:val="both"/>
      </w:pPr>
      <w:bookmarkStart w:id="34" w:name="_Toc68686785"/>
      <w:bookmarkStart w:id="35" w:name="_Toc135910067"/>
      <w:r>
        <w:t>9</w:t>
      </w:r>
      <w:r w:rsidR="00E95641">
        <w:t>.5 Document Storage</w:t>
      </w:r>
      <w:bookmarkEnd w:id="34"/>
      <w:bookmarkEnd w:id="35"/>
    </w:p>
    <w:p w14:paraId="5205C80C" w14:textId="77777777" w:rsidR="00FD7515" w:rsidRPr="00CC192F" w:rsidRDefault="00AB3D2B" w:rsidP="001654B5">
      <w:pPr>
        <w:spacing w:after="0"/>
        <w:jc w:val="both"/>
        <w:rPr>
          <w:lang w:val="en-GB" w:eastAsia="en-GB"/>
        </w:rPr>
      </w:pPr>
      <w:r>
        <w:rPr>
          <w:lang w:val="en-GB" w:eastAsia="en-GB"/>
        </w:rPr>
        <w:t>This document will be published on the University website</w:t>
      </w:r>
      <w:r w:rsidR="00C6194F">
        <w:rPr>
          <w:lang w:val="en-GB" w:eastAsia="en-GB"/>
        </w:rPr>
        <w:t>.</w:t>
      </w:r>
    </w:p>
    <w:p w14:paraId="42D866C6" w14:textId="77777777" w:rsidR="00E95641" w:rsidRDefault="00C15C46" w:rsidP="001654B5">
      <w:pPr>
        <w:pStyle w:val="Heading2"/>
        <w:jc w:val="both"/>
      </w:pPr>
      <w:bookmarkStart w:id="36" w:name="_Toc68686786"/>
      <w:bookmarkStart w:id="37" w:name="_Toc135910068"/>
      <w:r>
        <w:t>9</w:t>
      </w:r>
      <w:r w:rsidR="00E95641">
        <w:t xml:space="preserve">.6 </w:t>
      </w:r>
      <w:r w:rsidR="00E95641" w:rsidRPr="006D1B4A">
        <w:t>Document Classification</w:t>
      </w:r>
      <w:bookmarkEnd w:id="36"/>
      <w:bookmarkEnd w:id="37"/>
      <w:r w:rsidR="00E95641" w:rsidRPr="006D1B4A">
        <w:t xml:space="preserve"> </w:t>
      </w:r>
    </w:p>
    <w:p w14:paraId="02EBA1C9" w14:textId="77777777" w:rsidR="00E95641" w:rsidRPr="000D2694" w:rsidRDefault="00AB3D2B" w:rsidP="001654B5">
      <w:pPr>
        <w:jc w:val="both"/>
        <w:rPr>
          <w:b/>
          <w:lang w:val="en-GB" w:eastAsia="en-GB"/>
        </w:rPr>
      </w:pPr>
      <w:r>
        <w:rPr>
          <w:lang w:val="en-GB" w:eastAsia="en-GB"/>
        </w:rPr>
        <w:t>This document is classified as TU Dublin: Public as per the University Data Classification Policy</w:t>
      </w:r>
      <w:r w:rsidR="00C6194F" w:rsidRPr="00C6194F">
        <w:rPr>
          <w:lang w:val="en-GB" w:eastAsia="en-GB"/>
        </w:rPr>
        <w:t>.</w:t>
      </w:r>
    </w:p>
    <w:p w14:paraId="2B9D865A" w14:textId="77777777" w:rsidR="00677D52" w:rsidRDefault="00677D52" w:rsidP="00B53AF1">
      <w:pPr>
        <w:rPr>
          <w:rFonts w:eastAsiaTheme="majorEastAsia" w:cstheme="majorBidi"/>
          <w:b/>
          <w:color w:val="00A9B7"/>
          <w:sz w:val="24"/>
        </w:rPr>
      </w:pPr>
    </w:p>
    <w:p w14:paraId="60C810CD" w14:textId="77777777" w:rsidR="00677D52" w:rsidRDefault="00677D52" w:rsidP="00B53AF1">
      <w:pPr>
        <w:rPr>
          <w:rFonts w:eastAsiaTheme="majorEastAsia" w:cstheme="majorBidi"/>
          <w:b/>
          <w:color w:val="00A9B7"/>
          <w:sz w:val="24"/>
        </w:rPr>
      </w:pPr>
    </w:p>
    <w:p w14:paraId="3540DD25" w14:textId="056D4C4E" w:rsidR="00B53AF1" w:rsidRPr="00C6194F" w:rsidRDefault="00B53AF1" w:rsidP="00901A55">
      <w:pPr>
        <w:spacing w:after="365" w:line="265" w:lineRule="auto"/>
        <w:ind w:right="-449"/>
        <w:rPr>
          <w:lang w:val="en-GB" w:eastAsia="en-GB"/>
        </w:rPr>
      </w:pPr>
    </w:p>
    <w:sectPr w:rsidR="00B53AF1" w:rsidRPr="00C6194F" w:rsidSect="009D1F5B">
      <w:headerReference w:type="even" r:id="rId11"/>
      <w:headerReference w:type="default" r:id="rId12"/>
      <w:footerReference w:type="default" r:id="rId13"/>
      <w:headerReference w:type="first" r:id="rId14"/>
      <w:type w:val="continuous"/>
      <w:pgSz w:w="11900" w:h="16840"/>
      <w:pgMar w:top="1105" w:right="1797" w:bottom="1440" w:left="1797" w:header="426"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2A7C2" w14:textId="77777777" w:rsidR="009E5743" w:rsidRDefault="009E5743">
      <w:pPr>
        <w:spacing w:after="0"/>
      </w:pPr>
      <w:r>
        <w:separator/>
      </w:r>
    </w:p>
  </w:endnote>
  <w:endnote w:type="continuationSeparator" w:id="0">
    <w:p w14:paraId="5FF104CE" w14:textId="77777777" w:rsidR="009E5743" w:rsidRDefault="009E57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isuelt">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3BAB8" w14:textId="77777777" w:rsidR="004C56CA" w:rsidRDefault="004C56CA">
    <w:pPr>
      <w:pStyle w:val="Footer"/>
    </w:pPr>
    <w:r>
      <w:rPr>
        <w:noProof/>
      </w:rPr>
      <mc:AlternateContent>
        <mc:Choice Requires="wps">
          <w:drawing>
            <wp:anchor distT="182880" distB="182880" distL="114300" distR="114300" simplePos="0" relativeHeight="251658240" behindDoc="0" locked="0" layoutInCell="1" allowOverlap="1" wp14:anchorId="32112D01" wp14:editId="57F85468">
              <wp:simplePos x="0" y="0"/>
              <wp:positionH relativeFrom="margin">
                <wp:posOffset>-944451</wp:posOffset>
              </wp:positionH>
              <wp:positionV relativeFrom="margin">
                <wp:posOffset>9575429</wp:posOffset>
              </wp:positionV>
              <wp:extent cx="1107440" cy="177165"/>
              <wp:effectExtent l="0" t="0" r="0" b="13335"/>
              <wp:wrapTopAndBottom/>
              <wp:docPr id="5" name="Text Box 5" descr="Pull quote"/>
              <wp:cNvGraphicFramePr/>
              <a:graphic xmlns:a="http://schemas.openxmlformats.org/drawingml/2006/main">
                <a:graphicData uri="http://schemas.microsoft.com/office/word/2010/wordprocessingShape">
                  <wps:wsp>
                    <wps:cNvSpPr txBox="1"/>
                    <wps:spPr>
                      <a:xfrm>
                        <a:off x="0" y="0"/>
                        <a:ext cx="1107440"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24AEB" w14:textId="77777777" w:rsidR="004C56CA" w:rsidRDefault="004C56CA" w:rsidP="005A7DB8">
                          <w:pPr>
                            <w:jc w:val="center"/>
                            <w:rPr>
                              <w:color w:val="365F91" w:themeColor="accent1" w:themeShade="BF"/>
                            </w:rPr>
                          </w:pPr>
                          <w:r>
                            <w:rPr>
                              <w:color w:val="365F91" w:themeColor="accent1" w:themeShade="BF"/>
                            </w:rPr>
                            <w:t>TU Dublin Public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112D01" id="_x0000_t202" coordsize="21600,21600" o:spt="202" path="m,l,21600r21600,l21600,xe">
              <v:stroke joinstyle="miter"/>
              <v:path gradientshapeok="t" o:connecttype="rect"/>
            </v:shapetype>
            <v:shape id="Text Box 5" o:spid="_x0000_s1029" type="#_x0000_t202" alt="Pull quote" style="position:absolute;margin-left:-74.35pt;margin-top:753.95pt;width:87.2pt;height:13.95pt;z-index:251658240;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" filled="f" stroked="f" strokeweight=".5pt">
              <v:textbox inset="0,0,0,0">
                <w:txbxContent>
                  <w:p w14:paraId="02C24AEB" w14:textId="77777777" w:rsidR="004C56CA" w:rsidRDefault="004C56CA" w:rsidP="005A7DB8">
                    <w:pPr>
                      <w:jc w:val="center"/>
                      <w:rPr>
                        <w:color w:val="365F91" w:themeColor="accent1" w:themeShade="BF"/>
                      </w:rPr>
                    </w:pPr>
                    <w:r>
                      <w:rPr>
                        <w:color w:val="365F91" w:themeColor="accent1" w:themeShade="BF"/>
                      </w:rPr>
                      <w:t>TU Dublin Public</w:t>
                    </w:r>
                  </w:p>
                </w:txbxContent>
              </v:textbox>
              <w10:wrap type="topAndBottom" anchorx="margin" anchory="margin"/>
            </v:shape>
          </w:pict>
        </mc:Fallback>
      </mc:AlternateContent>
    </w:r>
    <w:r>
      <w:rPr>
        <w:noProof/>
      </w:rPr>
      <w:drawing>
        <wp:anchor distT="0" distB="0" distL="114300" distR="114300" simplePos="0" relativeHeight="251657216" behindDoc="0" locked="0" layoutInCell="1" allowOverlap="1" wp14:anchorId="6CCAF9D6" wp14:editId="41DF81B3">
          <wp:simplePos x="0" y="0"/>
          <wp:positionH relativeFrom="margin">
            <wp:align>center</wp:align>
          </wp:positionH>
          <wp:positionV relativeFrom="page">
            <wp:align>bottom</wp:align>
          </wp:positionV>
          <wp:extent cx="7257600" cy="8784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257600" cy="87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BBF56" w14:textId="77777777" w:rsidR="009E5743" w:rsidRDefault="009E5743">
      <w:pPr>
        <w:spacing w:after="0"/>
      </w:pPr>
      <w:r>
        <w:separator/>
      </w:r>
    </w:p>
  </w:footnote>
  <w:footnote w:type="continuationSeparator" w:id="0">
    <w:p w14:paraId="46A6C1E4" w14:textId="77777777" w:rsidR="009E5743" w:rsidRDefault="009E5743">
      <w:pPr>
        <w:spacing w:after="0"/>
      </w:pPr>
      <w:r>
        <w:continuationSeparator/>
      </w:r>
    </w:p>
  </w:footnote>
  <w:footnote w:id="1">
    <w:p w14:paraId="59D66A06" w14:textId="77777777" w:rsidR="004C56CA" w:rsidRPr="000D2694" w:rsidRDefault="004C56CA">
      <w:pPr>
        <w:pStyle w:val="FootnoteText"/>
        <w:rPr>
          <w:sz w:val="18"/>
          <w:lang w:val="en-IE"/>
        </w:rPr>
      </w:pPr>
      <w:r>
        <w:rPr>
          <w:rStyle w:val="FootnoteReference"/>
        </w:rPr>
        <w:footnoteRef/>
      </w:r>
      <w:r>
        <w:t xml:space="preserve"> </w:t>
      </w:r>
      <w:r w:rsidRPr="000D2694">
        <w:rPr>
          <w:sz w:val="18"/>
          <w:lang w:val="en-IE"/>
        </w:rPr>
        <w:t>Safety, Health and Welfare at Work Act 2005 Part 2 Chapter 1 Section 10</w:t>
      </w:r>
    </w:p>
  </w:footnote>
  <w:footnote w:id="2">
    <w:p w14:paraId="11AE44A5" w14:textId="77777777" w:rsidR="004C56CA" w:rsidRPr="00443B19" w:rsidRDefault="004C56CA">
      <w:pPr>
        <w:pStyle w:val="FootnoteText"/>
        <w:rPr>
          <w:lang w:val="en-IE"/>
        </w:rPr>
      </w:pPr>
      <w:r w:rsidRPr="000D2694">
        <w:rPr>
          <w:rStyle w:val="FootnoteReference"/>
          <w:sz w:val="18"/>
        </w:rPr>
        <w:footnoteRef/>
      </w:r>
      <w:r w:rsidRPr="000D2694">
        <w:rPr>
          <w:sz w:val="18"/>
        </w:rPr>
        <w:t xml:space="preserve"> </w:t>
      </w:r>
      <w:r w:rsidRPr="000D2694">
        <w:rPr>
          <w:sz w:val="18"/>
          <w:lang w:val="en-IE"/>
        </w:rPr>
        <w:t>Safety, Health and Welfare at Work Act 2005 Part 2 Chapter 2 Section 13</w:t>
      </w:r>
    </w:p>
  </w:footnote>
  <w:footnote w:id="3">
    <w:p w14:paraId="658C26F6" w14:textId="77777777" w:rsidR="004C56CA" w:rsidRPr="00483EC0" w:rsidRDefault="004C56CA">
      <w:pPr>
        <w:pStyle w:val="FootnoteText"/>
        <w:rPr>
          <w:lang w:val="en-IE"/>
        </w:rPr>
      </w:pPr>
      <w:r>
        <w:rPr>
          <w:rStyle w:val="FootnoteReference"/>
        </w:rPr>
        <w:footnoteRef/>
      </w:r>
      <w:r>
        <w:t xml:space="preserve"> </w:t>
      </w:r>
      <w:r>
        <w:rPr>
          <w:lang w:val="en-IE"/>
        </w:rPr>
        <w:t>Safety, Health and Welfare at Work (General Application) Regulations 2007 (SI No.299 of 2007) Chapter 4, Regulation 68.</w:t>
      </w:r>
    </w:p>
  </w:footnote>
  <w:footnote w:id="4">
    <w:p w14:paraId="4CBF8DF9" w14:textId="77777777" w:rsidR="004C56CA" w:rsidRPr="00483EC0" w:rsidRDefault="004C56CA">
      <w:pPr>
        <w:pStyle w:val="FootnoteText"/>
        <w:rPr>
          <w:lang w:val="en-IE"/>
        </w:rPr>
      </w:pPr>
      <w:r>
        <w:rPr>
          <w:rStyle w:val="FootnoteReference"/>
        </w:rPr>
        <w:footnoteRef/>
      </w:r>
      <w:r>
        <w:t xml:space="preserve"> </w:t>
      </w:r>
      <w:r>
        <w:rPr>
          <w:lang w:val="en-IE"/>
        </w:rPr>
        <w:t>Safety, Health and Welfare at Work Act 2005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9E27A" w14:textId="77777777" w:rsidR="004C56CA" w:rsidRDefault="004C56CA">
    <w:pPr>
      <w:pStyle w:val="Header"/>
    </w:pPr>
    <w:r>
      <w:rPr>
        <w:noProof/>
      </w:rPr>
      <w:drawing>
        <wp:inline distT="0" distB="0" distL="0" distR="0" wp14:anchorId="68DA1924" wp14:editId="120364A1">
          <wp:extent cx="5274310" cy="7463790"/>
          <wp:effectExtent l="25400" t="0" r="8890" b="0"/>
          <wp:docPr id="6" name="Picture 5" descr="Report Co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2.jpg"/>
                  <pic:cNvPicPr/>
                </pic:nvPicPr>
                <pic:blipFill>
                  <a:blip r:embed="rId1"/>
                  <a:stretch>
                    <a:fillRect/>
                  </a:stretch>
                </pic:blipFill>
                <pic:spPr>
                  <a:xfrm>
                    <a:off x="0" y="0"/>
                    <a:ext cx="5274310" cy="74637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4841" w14:textId="6C35D0C2" w:rsidR="004C56CA" w:rsidRPr="002E55AB" w:rsidRDefault="009E5743" w:rsidP="002E55AB">
    <w:pPr>
      <w:pStyle w:val="Header"/>
      <w:ind w:hanging="1276"/>
      <w:rPr>
        <w:rFonts w:ascii="Visuelt" w:hAnsi="Visuelt"/>
        <w:color w:val="19A4B1"/>
        <w:sz w:val="32"/>
        <w:lang w:val="en-IE"/>
      </w:rPr>
    </w:pPr>
    <w:sdt>
      <w:sdtPr>
        <w:id w:val="85283088"/>
        <w:docPartObj>
          <w:docPartGallery w:val="Page Numbers (Top of Page)"/>
          <w:docPartUnique/>
        </w:docPartObj>
      </w:sdtPr>
      <w:sdtEndPr>
        <w:rPr>
          <w:noProof/>
        </w:rPr>
      </w:sdtEndPr>
      <w:sdtContent>
        <w:r w:rsidR="004C56CA">
          <w:rPr>
            <w:rFonts w:ascii="Visuelt" w:hAnsi="Visuelt"/>
            <w:color w:val="19A4B1"/>
            <w:sz w:val="32"/>
            <w:lang w:val="en-IE"/>
          </w:rPr>
          <w:t xml:space="preserve">TU Dublin Policy: Safety, Health and Welfare Training Policy </w:t>
        </w:r>
        <w:r w:rsidR="004C56CA">
          <w:rPr>
            <w:rFonts w:ascii="Visuelt" w:hAnsi="Visuelt"/>
            <w:color w:val="19A4B1"/>
            <w:sz w:val="32"/>
            <w:lang w:val="en-IE"/>
          </w:rPr>
          <w:tab/>
          <w:t xml:space="preserve"> </w:t>
        </w:r>
        <w:r w:rsidR="004C56CA">
          <w:fldChar w:fldCharType="begin"/>
        </w:r>
        <w:r w:rsidR="004C56CA">
          <w:instrText xml:space="preserve"> PAGE   \* MERGEFORMAT </w:instrText>
        </w:r>
        <w:r w:rsidR="004C56CA">
          <w:fldChar w:fldCharType="separate"/>
        </w:r>
        <w:r w:rsidR="00534811">
          <w:rPr>
            <w:noProof/>
          </w:rPr>
          <w:t>2</w:t>
        </w:r>
        <w:r w:rsidR="004C56CA">
          <w:rPr>
            <w:noProof/>
          </w:rPr>
          <w:fldChar w:fldCharType="end"/>
        </w:r>
        <w:r w:rsidR="004C56CA">
          <w:rPr>
            <w:rFonts w:ascii="Visuelt" w:hAnsi="Visuelt"/>
            <w:color w:val="19A4B1"/>
            <w:sz w:val="32"/>
            <w:lang w:val="en-IE"/>
          </w:rPr>
          <w:t xml:space="preserve">          </w:t>
        </w:r>
      </w:sdtContent>
    </w:sdt>
  </w:p>
  <w:p w14:paraId="3D2CDB07" w14:textId="77777777" w:rsidR="004C56CA" w:rsidRPr="002E55AB" w:rsidRDefault="004C56CA" w:rsidP="002E5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CC010" w14:textId="77777777" w:rsidR="004C56CA" w:rsidRPr="008D5C60" w:rsidRDefault="004C56CA" w:rsidP="008D5C60">
    <w:pPr>
      <w:pStyle w:val="Header"/>
    </w:pPr>
    <w:r w:rsidRPr="008D5C60">
      <w:rPr>
        <w:noProof/>
      </w:rPr>
      <w:drawing>
        <wp:anchor distT="0" distB="0" distL="114300" distR="114300" simplePos="0" relativeHeight="251656192" behindDoc="0" locked="0" layoutInCell="1" allowOverlap="1" wp14:anchorId="367F8CB7" wp14:editId="56461668">
          <wp:simplePos x="0" y="0"/>
          <wp:positionH relativeFrom="column">
            <wp:posOffset>-1143000</wp:posOffset>
          </wp:positionH>
          <wp:positionV relativeFrom="paragraph">
            <wp:posOffset>-254635</wp:posOffset>
          </wp:positionV>
          <wp:extent cx="7556500" cy="10693400"/>
          <wp:effectExtent l="25400" t="0" r="0" b="0"/>
          <wp:wrapNone/>
          <wp:docPr id="11" name="Picture 11" descr="Report Cov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3.jpg"/>
                  <pic:cNvPicPr/>
                </pic:nvPicPr>
                <pic:blipFill>
                  <a:blip r:embed="rId1"/>
                  <a:stretch>
                    <a:fillRect/>
                  </a:stretch>
                </pic:blipFill>
                <pic:spPr>
                  <a:xfrm>
                    <a:off x="0" y="0"/>
                    <a:ext cx="7556500" cy="1069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A09"/>
    <w:multiLevelType w:val="multilevel"/>
    <w:tmpl w:val="F63AA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E54E9E"/>
    <w:multiLevelType w:val="hybridMultilevel"/>
    <w:tmpl w:val="B00E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60734"/>
    <w:multiLevelType w:val="hybridMultilevel"/>
    <w:tmpl w:val="9B9AE7A6"/>
    <w:lvl w:ilvl="0" w:tplc="1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D8218D"/>
    <w:multiLevelType w:val="hybridMultilevel"/>
    <w:tmpl w:val="4522A3E4"/>
    <w:lvl w:ilvl="0" w:tplc="65EEC410">
      <w:start w:val="6"/>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273CC8"/>
    <w:multiLevelType w:val="hybridMultilevel"/>
    <w:tmpl w:val="17E898E0"/>
    <w:lvl w:ilvl="0" w:tplc="81D65FDC">
      <w:start w:val="6"/>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536E0F"/>
    <w:multiLevelType w:val="hybridMultilevel"/>
    <w:tmpl w:val="2B629FF4"/>
    <w:lvl w:ilvl="0" w:tplc="18090005">
      <w:start w:val="1"/>
      <w:numFmt w:val="bullet"/>
      <w:lvlText w:val=""/>
      <w:lvlJc w:val="left"/>
      <w:pPr>
        <w:ind w:left="2880" w:hanging="360"/>
      </w:pPr>
      <w:rPr>
        <w:rFonts w:ascii="Wingdings" w:hAnsi="Wingdings"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3905"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9156855"/>
    <w:multiLevelType w:val="hybridMultilevel"/>
    <w:tmpl w:val="B2283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C32F3"/>
    <w:multiLevelType w:val="hybridMultilevel"/>
    <w:tmpl w:val="8154FB5C"/>
    <w:lvl w:ilvl="0" w:tplc="1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E819B9"/>
    <w:multiLevelType w:val="hybridMultilevel"/>
    <w:tmpl w:val="168EC5C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B4544"/>
    <w:multiLevelType w:val="hybridMultilevel"/>
    <w:tmpl w:val="2502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15AA1"/>
    <w:multiLevelType w:val="hybridMultilevel"/>
    <w:tmpl w:val="4EBC056C"/>
    <w:lvl w:ilvl="0" w:tplc="1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13F56ED"/>
    <w:multiLevelType w:val="hybridMultilevel"/>
    <w:tmpl w:val="16C4BAC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1E3513A"/>
    <w:multiLevelType w:val="hybridMultilevel"/>
    <w:tmpl w:val="CF825A48"/>
    <w:lvl w:ilvl="0" w:tplc="18090005">
      <w:start w:val="1"/>
      <w:numFmt w:val="bullet"/>
      <w:lvlText w:val=""/>
      <w:lvlJc w:val="left"/>
      <w:pPr>
        <w:ind w:left="2880" w:hanging="360"/>
      </w:pPr>
      <w:rPr>
        <w:rFonts w:ascii="Wingdings" w:hAnsi="Wingdings" w:hint="default"/>
      </w:rPr>
    </w:lvl>
    <w:lvl w:ilvl="1" w:tplc="08090003">
      <w:start w:val="1"/>
      <w:numFmt w:val="bullet"/>
      <w:lvlText w:val="o"/>
      <w:lvlJc w:val="left"/>
      <w:pPr>
        <w:ind w:left="3600" w:hanging="360"/>
      </w:pPr>
      <w:rPr>
        <w:rFonts w:ascii="Courier New" w:hAnsi="Courier New" w:cs="Courier New" w:hint="default"/>
      </w:rPr>
    </w:lvl>
    <w:lvl w:ilvl="2" w:tplc="1809000D">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424D3850"/>
    <w:multiLevelType w:val="hybridMultilevel"/>
    <w:tmpl w:val="210E80C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33A454A"/>
    <w:multiLevelType w:val="hybridMultilevel"/>
    <w:tmpl w:val="FBA6D9A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3E72D5F"/>
    <w:multiLevelType w:val="hybridMultilevel"/>
    <w:tmpl w:val="B10A45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E3D95"/>
    <w:multiLevelType w:val="hybridMultilevel"/>
    <w:tmpl w:val="9D66F6EA"/>
    <w:lvl w:ilvl="0" w:tplc="1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72A38D9"/>
    <w:multiLevelType w:val="hybridMultilevel"/>
    <w:tmpl w:val="14C2A2A2"/>
    <w:lvl w:ilvl="0" w:tplc="CA325FBC">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50025"/>
    <w:multiLevelType w:val="hybridMultilevel"/>
    <w:tmpl w:val="168EC5C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D92297"/>
    <w:multiLevelType w:val="hybridMultilevel"/>
    <w:tmpl w:val="B4D830BC"/>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6F21CF"/>
    <w:multiLevelType w:val="hybridMultilevel"/>
    <w:tmpl w:val="580C2230"/>
    <w:lvl w:ilvl="0" w:tplc="DEAC2A78">
      <w:start w:val="1"/>
      <w:numFmt w:val="bullet"/>
      <w:lvlText w:val=""/>
      <w:lvlJc w:val="left"/>
      <w:pPr>
        <w:tabs>
          <w:tab w:val="num" w:pos="720"/>
        </w:tabs>
        <w:ind w:left="720" w:hanging="360"/>
      </w:pPr>
      <w:rPr>
        <w:rFonts w:ascii="Wingdings" w:hAnsi="Wingdings" w:hint="default"/>
      </w:rPr>
    </w:lvl>
    <w:lvl w:ilvl="1" w:tplc="95CC2B24">
      <w:start w:val="1"/>
      <w:numFmt w:val="bullet"/>
      <w:lvlText w:val=""/>
      <w:lvlJc w:val="left"/>
      <w:pPr>
        <w:tabs>
          <w:tab w:val="num" w:pos="1440"/>
        </w:tabs>
        <w:ind w:left="1440" w:hanging="360"/>
      </w:pPr>
      <w:rPr>
        <w:rFonts w:ascii="Wingdings" w:hAnsi="Wingdings" w:hint="default"/>
      </w:rPr>
    </w:lvl>
    <w:lvl w:ilvl="2" w:tplc="8000EF12" w:tentative="1">
      <w:start w:val="1"/>
      <w:numFmt w:val="bullet"/>
      <w:lvlText w:val=""/>
      <w:lvlJc w:val="left"/>
      <w:pPr>
        <w:tabs>
          <w:tab w:val="num" w:pos="2160"/>
        </w:tabs>
        <w:ind w:left="2160" w:hanging="360"/>
      </w:pPr>
      <w:rPr>
        <w:rFonts w:ascii="Wingdings" w:hAnsi="Wingdings" w:hint="default"/>
      </w:rPr>
    </w:lvl>
    <w:lvl w:ilvl="3" w:tplc="373C7B96" w:tentative="1">
      <w:start w:val="1"/>
      <w:numFmt w:val="bullet"/>
      <w:lvlText w:val=""/>
      <w:lvlJc w:val="left"/>
      <w:pPr>
        <w:tabs>
          <w:tab w:val="num" w:pos="2880"/>
        </w:tabs>
        <w:ind w:left="2880" w:hanging="360"/>
      </w:pPr>
      <w:rPr>
        <w:rFonts w:ascii="Wingdings" w:hAnsi="Wingdings" w:hint="default"/>
      </w:rPr>
    </w:lvl>
    <w:lvl w:ilvl="4" w:tplc="A4061FC8" w:tentative="1">
      <w:start w:val="1"/>
      <w:numFmt w:val="bullet"/>
      <w:lvlText w:val=""/>
      <w:lvlJc w:val="left"/>
      <w:pPr>
        <w:tabs>
          <w:tab w:val="num" w:pos="3600"/>
        </w:tabs>
        <w:ind w:left="3600" w:hanging="360"/>
      </w:pPr>
      <w:rPr>
        <w:rFonts w:ascii="Wingdings" w:hAnsi="Wingdings" w:hint="default"/>
      </w:rPr>
    </w:lvl>
    <w:lvl w:ilvl="5" w:tplc="97169FAC" w:tentative="1">
      <w:start w:val="1"/>
      <w:numFmt w:val="bullet"/>
      <w:lvlText w:val=""/>
      <w:lvlJc w:val="left"/>
      <w:pPr>
        <w:tabs>
          <w:tab w:val="num" w:pos="4320"/>
        </w:tabs>
        <w:ind w:left="4320" w:hanging="360"/>
      </w:pPr>
      <w:rPr>
        <w:rFonts w:ascii="Wingdings" w:hAnsi="Wingdings" w:hint="default"/>
      </w:rPr>
    </w:lvl>
    <w:lvl w:ilvl="6" w:tplc="2DA2F8DE" w:tentative="1">
      <w:start w:val="1"/>
      <w:numFmt w:val="bullet"/>
      <w:lvlText w:val=""/>
      <w:lvlJc w:val="left"/>
      <w:pPr>
        <w:tabs>
          <w:tab w:val="num" w:pos="5040"/>
        </w:tabs>
        <w:ind w:left="5040" w:hanging="360"/>
      </w:pPr>
      <w:rPr>
        <w:rFonts w:ascii="Wingdings" w:hAnsi="Wingdings" w:hint="default"/>
      </w:rPr>
    </w:lvl>
    <w:lvl w:ilvl="7" w:tplc="F8F46BF2" w:tentative="1">
      <w:start w:val="1"/>
      <w:numFmt w:val="bullet"/>
      <w:lvlText w:val=""/>
      <w:lvlJc w:val="left"/>
      <w:pPr>
        <w:tabs>
          <w:tab w:val="num" w:pos="5760"/>
        </w:tabs>
        <w:ind w:left="5760" w:hanging="360"/>
      </w:pPr>
      <w:rPr>
        <w:rFonts w:ascii="Wingdings" w:hAnsi="Wingdings" w:hint="default"/>
      </w:rPr>
    </w:lvl>
    <w:lvl w:ilvl="8" w:tplc="865E69C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7F357C"/>
    <w:multiLevelType w:val="hybridMultilevel"/>
    <w:tmpl w:val="033A3FE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92A4126"/>
    <w:multiLevelType w:val="hybridMultilevel"/>
    <w:tmpl w:val="FF2263F4"/>
    <w:lvl w:ilvl="0" w:tplc="18090005">
      <w:start w:val="1"/>
      <w:numFmt w:val="bullet"/>
      <w:lvlText w:val=""/>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3" w15:restartNumberingAfterBreak="0">
    <w:nsid w:val="6F2934FB"/>
    <w:multiLevelType w:val="hybridMultilevel"/>
    <w:tmpl w:val="0A40B140"/>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62092"/>
    <w:multiLevelType w:val="multilevel"/>
    <w:tmpl w:val="2C7A91FE"/>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b/>
        <w:color w:val="4BACC6" w:themeColor="accent5"/>
      </w:rPr>
    </w:lvl>
    <w:lvl w:ilvl="2">
      <w:start w:val="1"/>
      <w:numFmt w:val="decimal"/>
      <w:isLgl/>
      <w:lvlText w:val="%1.%2.%3"/>
      <w:lvlJc w:val="left"/>
      <w:pPr>
        <w:ind w:left="1080" w:hanging="720"/>
      </w:pPr>
      <w:rPr>
        <w:rFonts w:hint="default"/>
        <w:b/>
        <w:color w:val="4BACC6" w:themeColor="accent5"/>
      </w:rPr>
    </w:lvl>
    <w:lvl w:ilvl="3">
      <w:start w:val="1"/>
      <w:numFmt w:val="decimal"/>
      <w:isLgl/>
      <w:lvlText w:val="%1.%2.%3.%4"/>
      <w:lvlJc w:val="left"/>
      <w:pPr>
        <w:ind w:left="1080" w:hanging="720"/>
      </w:pPr>
      <w:rPr>
        <w:rFonts w:hint="default"/>
        <w:b/>
        <w:color w:val="4BACC6" w:themeColor="accent5"/>
      </w:rPr>
    </w:lvl>
    <w:lvl w:ilvl="4">
      <w:start w:val="1"/>
      <w:numFmt w:val="decimal"/>
      <w:isLgl/>
      <w:lvlText w:val="%1.%2.%3.%4.%5"/>
      <w:lvlJc w:val="left"/>
      <w:pPr>
        <w:ind w:left="1440" w:hanging="1080"/>
      </w:pPr>
      <w:rPr>
        <w:rFonts w:hint="default"/>
        <w:b/>
        <w:color w:val="4BACC6" w:themeColor="accent5"/>
      </w:rPr>
    </w:lvl>
    <w:lvl w:ilvl="5">
      <w:start w:val="1"/>
      <w:numFmt w:val="decimal"/>
      <w:isLgl/>
      <w:lvlText w:val="%1.%2.%3.%4.%5.%6"/>
      <w:lvlJc w:val="left"/>
      <w:pPr>
        <w:ind w:left="1440" w:hanging="1080"/>
      </w:pPr>
      <w:rPr>
        <w:rFonts w:hint="default"/>
        <w:b/>
        <w:color w:val="4BACC6" w:themeColor="accent5"/>
      </w:rPr>
    </w:lvl>
    <w:lvl w:ilvl="6">
      <w:start w:val="1"/>
      <w:numFmt w:val="decimal"/>
      <w:isLgl/>
      <w:lvlText w:val="%1.%2.%3.%4.%5.%6.%7"/>
      <w:lvlJc w:val="left"/>
      <w:pPr>
        <w:ind w:left="1800" w:hanging="1440"/>
      </w:pPr>
      <w:rPr>
        <w:rFonts w:hint="default"/>
        <w:b/>
        <w:color w:val="4BACC6" w:themeColor="accent5"/>
      </w:rPr>
    </w:lvl>
    <w:lvl w:ilvl="7">
      <w:start w:val="1"/>
      <w:numFmt w:val="decimal"/>
      <w:isLgl/>
      <w:lvlText w:val="%1.%2.%3.%4.%5.%6.%7.%8"/>
      <w:lvlJc w:val="left"/>
      <w:pPr>
        <w:ind w:left="1800" w:hanging="1440"/>
      </w:pPr>
      <w:rPr>
        <w:rFonts w:hint="default"/>
        <w:b/>
        <w:color w:val="4BACC6" w:themeColor="accent5"/>
      </w:rPr>
    </w:lvl>
    <w:lvl w:ilvl="8">
      <w:start w:val="1"/>
      <w:numFmt w:val="decimal"/>
      <w:isLgl/>
      <w:lvlText w:val="%1.%2.%3.%4.%5.%6.%7.%8.%9"/>
      <w:lvlJc w:val="left"/>
      <w:pPr>
        <w:ind w:left="2160" w:hanging="1800"/>
      </w:pPr>
      <w:rPr>
        <w:rFonts w:hint="default"/>
        <w:b/>
        <w:color w:val="4BACC6" w:themeColor="accent5"/>
      </w:rPr>
    </w:lvl>
  </w:abstractNum>
  <w:abstractNum w:abstractNumId="25" w15:restartNumberingAfterBreak="0">
    <w:nsid w:val="7B232E42"/>
    <w:multiLevelType w:val="hybridMultilevel"/>
    <w:tmpl w:val="C6CE5CF8"/>
    <w:lvl w:ilvl="0" w:tplc="1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D0D4C"/>
    <w:multiLevelType w:val="hybridMultilevel"/>
    <w:tmpl w:val="033A162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19"/>
  </w:num>
  <w:num w:numId="4">
    <w:abstractNumId w:val="2"/>
  </w:num>
  <w:num w:numId="5">
    <w:abstractNumId w:val="5"/>
  </w:num>
  <w:num w:numId="6">
    <w:abstractNumId w:val="12"/>
  </w:num>
  <w:num w:numId="7">
    <w:abstractNumId w:val="22"/>
  </w:num>
  <w:num w:numId="8">
    <w:abstractNumId w:val="23"/>
  </w:num>
  <w:num w:numId="9">
    <w:abstractNumId w:val="7"/>
  </w:num>
  <w:num w:numId="10">
    <w:abstractNumId w:val="25"/>
  </w:num>
  <w:num w:numId="11">
    <w:abstractNumId w:val="0"/>
  </w:num>
  <w:num w:numId="12">
    <w:abstractNumId w:val="17"/>
  </w:num>
  <w:num w:numId="13">
    <w:abstractNumId w:val="15"/>
  </w:num>
  <w:num w:numId="14">
    <w:abstractNumId w:val="16"/>
  </w:num>
  <w:num w:numId="15">
    <w:abstractNumId w:val="10"/>
  </w:num>
  <w:num w:numId="16">
    <w:abstractNumId w:val="14"/>
  </w:num>
  <w:num w:numId="17">
    <w:abstractNumId w:val="13"/>
  </w:num>
  <w:num w:numId="18">
    <w:abstractNumId w:val="3"/>
  </w:num>
  <w:num w:numId="19">
    <w:abstractNumId w:val="4"/>
  </w:num>
  <w:num w:numId="20">
    <w:abstractNumId w:val="21"/>
  </w:num>
  <w:num w:numId="21">
    <w:abstractNumId w:val="11"/>
  </w:num>
  <w:num w:numId="22">
    <w:abstractNumId w:val="26"/>
  </w:num>
  <w:num w:numId="23">
    <w:abstractNumId w:val="18"/>
  </w:num>
  <w:num w:numId="24">
    <w:abstractNumId w:val="8"/>
  </w:num>
  <w:num w:numId="25">
    <w:abstractNumId w:val="24"/>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OwsDQyMDYxMLYwNDVQ0lEKTi0uzszPAykwrAUAJJldaCwAAAA="/>
  </w:docVars>
  <w:rsids>
    <w:rsidRoot w:val="00EB4BD9"/>
    <w:rsid w:val="00002499"/>
    <w:rsid w:val="00007B9D"/>
    <w:rsid w:val="00012517"/>
    <w:rsid w:val="00015F5D"/>
    <w:rsid w:val="00021BED"/>
    <w:rsid w:val="000238BF"/>
    <w:rsid w:val="000240D5"/>
    <w:rsid w:val="0002472C"/>
    <w:rsid w:val="00031F33"/>
    <w:rsid w:val="00033C8A"/>
    <w:rsid w:val="00034B02"/>
    <w:rsid w:val="000351BD"/>
    <w:rsid w:val="00044F28"/>
    <w:rsid w:val="00052CBB"/>
    <w:rsid w:val="00057CB5"/>
    <w:rsid w:val="00066B32"/>
    <w:rsid w:val="0007369D"/>
    <w:rsid w:val="00074BFD"/>
    <w:rsid w:val="00077179"/>
    <w:rsid w:val="00081AFC"/>
    <w:rsid w:val="000878A2"/>
    <w:rsid w:val="0009409B"/>
    <w:rsid w:val="00097F6B"/>
    <w:rsid w:val="000A7589"/>
    <w:rsid w:val="000B0F7C"/>
    <w:rsid w:val="000B2ECB"/>
    <w:rsid w:val="000D2694"/>
    <w:rsid w:val="000D3B37"/>
    <w:rsid w:val="000E4761"/>
    <w:rsid w:val="000E6850"/>
    <w:rsid w:val="000E7D12"/>
    <w:rsid w:val="000F21BB"/>
    <w:rsid w:val="00102B7C"/>
    <w:rsid w:val="00105DA5"/>
    <w:rsid w:val="001111E3"/>
    <w:rsid w:val="00117AA8"/>
    <w:rsid w:val="00123995"/>
    <w:rsid w:val="0014013C"/>
    <w:rsid w:val="00145C16"/>
    <w:rsid w:val="00151D37"/>
    <w:rsid w:val="00152DD9"/>
    <w:rsid w:val="00164265"/>
    <w:rsid w:val="001654B5"/>
    <w:rsid w:val="00167828"/>
    <w:rsid w:val="00173937"/>
    <w:rsid w:val="00173F04"/>
    <w:rsid w:val="001747D7"/>
    <w:rsid w:val="00174D00"/>
    <w:rsid w:val="001755F2"/>
    <w:rsid w:val="001A4B1D"/>
    <w:rsid w:val="001B3237"/>
    <w:rsid w:val="001B4843"/>
    <w:rsid w:val="001C27DA"/>
    <w:rsid w:val="001C3EFC"/>
    <w:rsid w:val="001D11EB"/>
    <w:rsid w:val="001D427B"/>
    <w:rsid w:val="001D6051"/>
    <w:rsid w:val="001E0A2E"/>
    <w:rsid w:val="001E5E0B"/>
    <w:rsid w:val="001E7987"/>
    <w:rsid w:val="001F034D"/>
    <w:rsid w:val="001F06DD"/>
    <w:rsid w:val="001F12C8"/>
    <w:rsid w:val="001F183A"/>
    <w:rsid w:val="0020326A"/>
    <w:rsid w:val="002044C9"/>
    <w:rsid w:val="002229BD"/>
    <w:rsid w:val="00223A89"/>
    <w:rsid w:val="0023258E"/>
    <w:rsid w:val="002361C2"/>
    <w:rsid w:val="00236D35"/>
    <w:rsid w:val="00240074"/>
    <w:rsid w:val="0025284C"/>
    <w:rsid w:val="002532C9"/>
    <w:rsid w:val="0027212A"/>
    <w:rsid w:val="002759A9"/>
    <w:rsid w:val="002771A1"/>
    <w:rsid w:val="0028399A"/>
    <w:rsid w:val="0029273B"/>
    <w:rsid w:val="002977EE"/>
    <w:rsid w:val="002A0A4F"/>
    <w:rsid w:val="002A50C8"/>
    <w:rsid w:val="002A5EA4"/>
    <w:rsid w:val="002A7FBC"/>
    <w:rsid w:val="002B0310"/>
    <w:rsid w:val="002B1695"/>
    <w:rsid w:val="002B2817"/>
    <w:rsid w:val="002B6778"/>
    <w:rsid w:val="002C230A"/>
    <w:rsid w:val="002C3009"/>
    <w:rsid w:val="002C682B"/>
    <w:rsid w:val="002D0D37"/>
    <w:rsid w:val="002D63B1"/>
    <w:rsid w:val="002D6737"/>
    <w:rsid w:val="002D7E5C"/>
    <w:rsid w:val="002E1928"/>
    <w:rsid w:val="002E3A9B"/>
    <w:rsid w:val="002E47B3"/>
    <w:rsid w:val="002E54A5"/>
    <w:rsid w:val="002E55AB"/>
    <w:rsid w:val="002E7C35"/>
    <w:rsid w:val="002F0244"/>
    <w:rsid w:val="002F7EEF"/>
    <w:rsid w:val="00301B0F"/>
    <w:rsid w:val="00303794"/>
    <w:rsid w:val="00315AB6"/>
    <w:rsid w:val="00315BE1"/>
    <w:rsid w:val="003222BE"/>
    <w:rsid w:val="003263C1"/>
    <w:rsid w:val="00335F88"/>
    <w:rsid w:val="00340401"/>
    <w:rsid w:val="003435B5"/>
    <w:rsid w:val="00355F86"/>
    <w:rsid w:val="00361207"/>
    <w:rsid w:val="00364610"/>
    <w:rsid w:val="00366CD5"/>
    <w:rsid w:val="003672EA"/>
    <w:rsid w:val="00374511"/>
    <w:rsid w:val="003758BA"/>
    <w:rsid w:val="0037597B"/>
    <w:rsid w:val="00380CB3"/>
    <w:rsid w:val="00385E83"/>
    <w:rsid w:val="00395D96"/>
    <w:rsid w:val="00396EE2"/>
    <w:rsid w:val="003A1516"/>
    <w:rsid w:val="003A2A57"/>
    <w:rsid w:val="003A5BE5"/>
    <w:rsid w:val="003B40DA"/>
    <w:rsid w:val="003C678A"/>
    <w:rsid w:val="003E01E1"/>
    <w:rsid w:val="003E03B4"/>
    <w:rsid w:val="003E0A17"/>
    <w:rsid w:val="003E61D7"/>
    <w:rsid w:val="003E6FE3"/>
    <w:rsid w:val="003F1894"/>
    <w:rsid w:val="003F2CD7"/>
    <w:rsid w:val="003F452D"/>
    <w:rsid w:val="00401670"/>
    <w:rsid w:val="004017EF"/>
    <w:rsid w:val="0041381D"/>
    <w:rsid w:val="00413960"/>
    <w:rsid w:val="004142A4"/>
    <w:rsid w:val="004150B2"/>
    <w:rsid w:val="00415236"/>
    <w:rsid w:val="004204EC"/>
    <w:rsid w:val="004210FD"/>
    <w:rsid w:val="004238C4"/>
    <w:rsid w:val="00434524"/>
    <w:rsid w:val="00443B19"/>
    <w:rsid w:val="0046022D"/>
    <w:rsid w:val="004644E9"/>
    <w:rsid w:val="0046672A"/>
    <w:rsid w:val="00466DE2"/>
    <w:rsid w:val="0047103A"/>
    <w:rsid w:val="00483AAF"/>
    <w:rsid w:val="00483EC0"/>
    <w:rsid w:val="00487326"/>
    <w:rsid w:val="004939B4"/>
    <w:rsid w:val="004C367B"/>
    <w:rsid w:val="004C56CA"/>
    <w:rsid w:val="004C751D"/>
    <w:rsid w:val="004D4AFB"/>
    <w:rsid w:val="004D7FE8"/>
    <w:rsid w:val="004E40EF"/>
    <w:rsid w:val="004E46F6"/>
    <w:rsid w:val="004F0A54"/>
    <w:rsid w:val="004F204A"/>
    <w:rsid w:val="004F7503"/>
    <w:rsid w:val="004F796D"/>
    <w:rsid w:val="00501915"/>
    <w:rsid w:val="0051150D"/>
    <w:rsid w:val="005121DE"/>
    <w:rsid w:val="00513EF0"/>
    <w:rsid w:val="00521B0C"/>
    <w:rsid w:val="00523A68"/>
    <w:rsid w:val="00525932"/>
    <w:rsid w:val="00525B7D"/>
    <w:rsid w:val="00531C3A"/>
    <w:rsid w:val="00534811"/>
    <w:rsid w:val="00540D95"/>
    <w:rsid w:val="00552C1F"/>
    <w:rsid w:val="005537D4"/>
    <w:rsid w:val="005704FF"/>
    <w:rsid w:val="00571B03"/>
    <w:rsid w:val="005769CE"/>
    <w:rsid w:val="00577CEA"/>
    <w:rsid w:val="005809B1"/>
    <w:rsid w:val="00586DE3"/>
    <w:rsid w:val="005877C7"/>
    <w:rsid w:val="00596BCD"/>
    <w:rsid w:val="00597445"/>
    <w:rsid w:val="0059792D"/>
    <w:rsid w:val="005A34C1"/>
    <w:rsid w:val="005A4101"/>
    <w:rsid w:val="005A7622"/>
    <w:rsid w:val="005A7A86"/>
    <w:rsid w:val="005A7DB8"/>
    <w:rsid w:val="005C2478"/>
    <w:rsid w:val="005C2DCE"/>
    <w:rsid w:val="005C644C"/>
    <w:rsid w:val="005E06C8"/>
    <w:rsid w:val="005E4073"/>
    <w:rsid w:val="005F05BD"/>
    <w:rsid w:val="005F1253"/>
    <w:rsid w:val="005F24B9"/>
    <w:rsid w:val="00605E12"/>
    <w:rsid w:val="00606882"/>
    <w:rsid w:val="00610566"/>
    <w:rsid w:val="006201F0"/>
    <w:rsid w:val="006206AD"/>
    <w:rsid w:val="006264D5"/>
    <w:rsid w:val="00637E5C"/>
    <w:rsid w:val="00640F66"/>
    <w:rsid w:val="00644324"/>
    <w:rsid w:val="006448CF"/>
    <w:rsid w:val="0064591E"/>
    <w:rsid w:val="006537B3"/>
    <w:rsid w:val="0065505A"/>
    <w:rsid w:val="00663BF8"/>
    <w:rsid w:val="006675E6"/>
    <w:rsid w:val="006702B0"/>
    <w:rsid w:val="00677D52"/>
    <w:rsid w:val="006814FD"/>
    <w:rsid w:val="00683D84"/>
    <w:rsid w:val="006901B6"/>
    <w:rsid w:val="0069107F"/>
    <w:rsid w:val="00695A4A"/>
    <w:rsid w:val="00695A90"/>
    <w:rsid w:val="006A1736"/>
    <w:rsid w:val="006B1239"/>
    <w:rsid w:val="006B2AE2"/>
    <w:rsid w:val="006B6869"/>
    <w:rsid w:val="006C02DB"/>
    <w:rsid w:val="006C3BF2"/>
    <w:rsid w:val="006C66C0"/>
    <w:rsid w:val="006C7AEA"/>
    <w:rsid w:val="006D0A83"/>
    <w:rsid w:val="006D4F7E"/>
    <w:rsid w:val="006E1D19"/>
    <w:rsid w:val="006E4593"/>
    <w:rsid w:val="006E517E"/>
    <w:rsid w:val="006E6FB5"/>
    <w:rsid w:val="006F4ED1"/>
    <w:rsid w:val="0070069E"/>
    <w:rsid w:val="00701AF6"/>
    <w:rsid w:val="007036D1"/>
    <w:rsid w:val="00706347"/>
    <w:rsid w:val="00712D23"/>
    <w:rsid w:val="00722569"/>
    <w:rsid w:val="00726447"/>
    <w:rsid w:val="00733C05"/>
    <w:rsid w:val="007450D1"/>
    <w:rsid w:val="00763836"/>
    <w:rsid w:val="00767144"/>
    <w:rsid w:val="007716AA"/>
    <w:rsid w:val="0078152A"/>
    <w:rsid w:val="007919F5"/>
    <w:rsid w:val="00791B5F"/>
    <w:rsid w:val="00793B9A"/>
    <w:rsid w:val="00796C8A"/>
    <w:rsid w:val="007A3C0E"/>
    <w:rsid w:val="007B318B"/>
    <w:rsid w:val="007C0AE1"/>
    <w:rsid w:val="007C23B3"/>
    <w:rsid w:val="007D0D11"/>
    <w:rsid w:val="007E7018"/>
    <w:rsid w:val="007F4853"/>
    <w:rsid w:val="008061AB"/>
    <w:rsid w:val="008106A5"/>
    <w:rsid w:val="008106B9"/>
    <w:rsid w:val="0083062E"/>
    <w:rsid w:val="00831450"/>
    <w:rsid w:val="0083146A"/>
    <w:rsid w:val="00835003"/>
    <w:rsid w:val="008367D6"/>
    <w:rsid w:val="0084740A"/>
    <w:rsid w:val="00856308"/>
    <w:rsid w:val="00861012"/>
    <w:rsid w:val="00871479"/>
    <w:rsid w:val="008769D7"/>
    <w:rsid w:val="008770DB"/>
    <w:rsid w:val="008778A6"/>
    <w:rsid w:val="0088602A"/>
    <w:rsid w:val="00886BB0"/>
    <w:rsid w:val="008958D7"/>
    <w:rsid w:val="00895EFA"/>
    <w:rsid w:val="008A200C"/>
    <w:rsid w:val="008A7DAE"/>
    <w:rsid w:val="008B4C5B"/>
    <w:rsid w:val="008C2017"/>
    <w:rsid w:val="008C2633"/>
    <w:rsid w:val="008C680B"/>
    <w:rsid w:val="008D5C60"/>
    <w:rsid w:val="008D62B4"/>
    <w:rsid w:val="008E7C59"/>
    <w:rsid w:val="00901A55"/>
    <w:rsid w:val="00903851"/>
    <w:rsid w:val="00905477"/>
    <w:rsid w:val="00910107"/>
    <w:rsid w:val="00910ED6"/>
    <w:rsid w:val="009118F1"/>
    <w:rsid w:val="0091379F"/>
    <w:rsid w:val="00924CC6"/>
    <w:rsid w:val="00925766"/>
    <w:rsid w:val="00927F06"/>
    <w:rsid w:val="00935397"/>
    <w:rsid w:val="00942174"/>
    <w:rsid w:val="00951828"/>
    <w:rsid w:val="0095226F"/>
    <w:rsid w:val="00953AB1"/>
    <w:rsid w:val="00967197"/>
    <w:rsid w:val="0097310A"/>
    <w:rsid w:val="00984CD6"/>
    <w:rsid w:val="00990852"/>
    <w:rsid w:val="00994184"/>
    <w:rsid w:val="009A0D8F"/>
    <w:rsid w:val="009A4EF3"/>
    <w:rsid w:val="009A5AA0"/>
    <w:rsid w:val="009C3C98"/>
    <w:rsid w:val="009C4BE8"/>
    <w:rsid w:val="009D16CE"/>
    <w:rsid w:val="009D1F5B"/>
    <w:rsid w:val="009E5743"/>
    <w:rsid w:val="009E6445"/>
    <w:rsid w:val="00A00030"/>
    <w:rsid w:val="00A03784"/>
    <w:rsid w:val="00A06B7C"/>
    <w:rsid w:val="00A10B6A"/>
    <w:rsid w:val="00A13501"/>
    <w:rsid w:val="00A14D36"/>
    <w:rsid w:val="00A32DDF"/>
    <w:rsid w:val="00A375AE"/>
    <w:rsid w:val="00A42336"/>
    <w:rsid w:val="00A432A8"/>
    <w:rsid w:val="00A470F5"/>
    <w:rsid w:val="00A5614B"/>
    <w:rsid w:val="00A61EDB"/>
    <w:rsid w:val="00A6392E"/>
    <w:rsid w:val="00A77A0B"/>
    <w:rsid w:val="00A876BC"/>
    <w:rsid w:val="00AA189F"/>
    <w:rsid w:val="00AA3F29"/>
    <w:rsid w:val="00AB3D2B"/>
    <w:rsid w:val="00AB3E1B"/>
    <w:rsid w:val="00AB5107"/>
    <w:rsid w:val="00AB5338"/>
    <w:rsid w:val="00AC5109"/>
    <w:rsid w:val="00AD4F38"/>
    <w:rsid w:val="00AD5AA1"/>
    <w:rsid w:val="00AE3E5F"/>
    <w:rsid w:val="00AE7DD0"/>
    <w:rsid w:val="00B023B0"/>
    <w:rsid w:val="00B028E2"/>
    <w:rsid w:val="00B1312C"/>
    <w:rsid w:val="00B15DB5"/>
    <w:rsid w:val="00B260D5"/>
    <w:rsid w:val="00B26C24"/>
    <w:rsid w:val="00B32717"/>
    <w:rsid w:val="00B36225"/>
    <w:rsid w:val="00B36C29"/>
    <w:rsid w:val="00B420BA"/>
    <w:rsid w:val="00B42398"/>
    <w:rsid w:val="00B522DD"/>
    <w:rsid w:val="00B53AF1"/>
    <w:rsid w:val="00B54FEA"/>
    <w:rsid w:val="00B55A64"/>
    <w:rsid w:val="00B55D37"/>
    <w:rsid w:val="00B6061F"/>
    <w:rsid w:val="00B6553A"/>
    <w:rsid w:val="00B67226"/>
    <w:rsid w:val="00B80191"/>
    <w:rsid w:val="00B80F3F"/>
    <w:rsid w:val="00B90A8B"/>
    <w:rsid w:val="00B95D69"/>
    <w:rsid w:val="00BB5B2B"/>
    <w:rsid w:val="00BC429E"/>
    <w:rsid w:val="00BC69EB"/>
    <w:rsid w:val="00BC79BE"/>
    <w:rsid w:val="00BD7F50"/>
    <w:rsid w:val="00BE174F"/>
    <w:rsid w:val="00BE599D"/>
    <w:rsid w:val="00BF2A9C"/>
    <w:rsid w:val="00BF34CE"/>
    <w:rsid w:val="00C03A81"/>
    <w:rsid w:val="00C10B84"/>
    <w:rsid w:val="00C139C9"/>
    <w:rsid w:val="00C15C46"/>
    <w:rsid w:val="00C40125"/>
    <w:rsid w:val="00C41AC0"/>
    <w:rsid w:val="00C434B6"/>
    <w:rsid w:val="00C44A71"/>
    <w:rsid w:val="00C50204"/>
    <w:rsid w:val="00C50606"/>
    <w:rsid w:val="00C51E52"/>
    <w:rsid w:val="00C53EE5"/>
    <w:rsid w:val="00C61671"/>
    <w:rsid w:val="00C6194F"/>
    <w:rsid w:val="00C61D4E"/>
    <w:rsid w:val="00C65F9C"/>
    <w:rsid w:val="00C92A48"/>
    <w:rsid w:val="00CA77E6"/>
    <w:rsid w:val="00CB0687"/>
    <w:rsid w:val="00CB0D95"/>
    <w:rsid w:val="00CB2A86"/>
    <w:rsid w:val="00CB396B"/>
    <w:rsid w:val="00CC0FBD"/>
    <w:rsid w:val="00CC1229"/>
    <w:rsid w:val="00CC5E14"/>
    <w:rsid w:val="00CC6B98"/>
    <w:rsid w:val="00CD07B5"/>
    <w:rsid w:val="00CD17B6"/>
    <w:rsid w:val="00CD5942"/>
    <w:rsid w:val="00CF4317"/>
    <w:rsid w:val="00D02A82"/>
    <w:rsid w:val="00D0546A"/>
    <w:rsid w:val="00D14880"/>
    <w:rsid w:val="00D226E3"/>
    <w:rsid w:val="00D31A5D"/>
    <w:rsid w:val="00D33F99"/>
    <w:rsid w:val="00D40BBE"/>
    <w:rsid w:val="00D51542"/>
    <w:rsid w:val="00D54229"/>
    <w:rsid w:val="00D57BD8"/>
    <w:rsid w:val="00D6551D"/>
    <w:rsid w:val="00D86F53"/>
    <w:rsid w:val="00D91A2C"/>
    <w:rsid w:val="00D9717A"/>
    <w:rsid w:val="00DA681C"/>
    <w:rsid w:val="00DB0A6B"/>
    <w:rsid w:val="00DB18D9"/>
    <w:rsid w:val="00DB642D"/>
    <w:rsid w:val="00DB71F2"/>
    <w:rsid w:val="00DC00A0"/>
    <w:rsid w:val="00DC0CF9"/>
    <w:rsid w:val="00DC35A8"/>
    <w:rsid w:val="00DD083B"/>
    <w:rsid w:val="00DD0898"/>
    <w:rsid w:val="00DD0AE9"/>
    <w:rsid w:val="00DD16AA"/>
    <w:rsid w:val="00DD60DB"/>
    <w:rsid w:val="00DF1176"/>
    <w:rsid w:val="00DF3B01"/>
    <w:rsid w:val="00DF76B8"/>
    <w:rsid w:val="00E063F7"/>
    <w:rsid w:val="00E06981"/>
    <w:rsid w:val="00E11203"/>
    <w:rsid w:val="00E12D0C"/>
    <w:rsid w:val="00E134C1"/>
    <w:rsid w:val="00E15665"/>
    <w:rsid w:val="00E15B01"/>
    <w:rsid w:val="00E173AF"/>
    <w:rsid w:val="00E22D78"/>
    <w:rsid w:val="00E236DE"/>
    <w:rsid w:val="00E268CD"/>
    <w:rsid w:val="00E30CC4"/>
    <w:rsid w:val="00E32D93"/>
    <w:rsid w:val="00E33E70"/>
    <w:rsid w:val="00E3564E"/>
    <w:rsid w:val="00E37419"/>
    <w:rsid w:val="00E40F60"/>
    <w:rsid w:val="00E523A6"/>
    <w:rsid w:val="00E6451C"/>
    <w:rsid w:val="00E664E3"/>
    <w:rsid w:val="00E70E20"/>
    <w:rsid w:val="00E70F43"/>
    <w:rsid w:val="00E73579"/>
    <w:rsid w:val="00E73892"/>
    <w:rsid w:val="00E80456"/>
    <w:rsid w:val="00E80DF2"/>
    <w:rsid w:val="00E84E79"/>
    <w:rsid w:val="00E86922"/>
    <w:rsid w:val="00E86FD4"/>
    <w:rsid w:val="00E94703"/>
    <w:rsid w:val="00E95641"/>
    <w:rsid w:val="00EA1446"/>
    <w:rsid w:val="00EA5D63"/>
    <w:rsid w:val="00EA6FC5"/>
    <w:rsid w:val="00EB4BD9"/>
    <w:rsid w:val="00EC2B75"/>
    <w:rsid w:val="00EC6964"/>
    <w:rsid w:val="00EC73B4"/>
    <w:rsid w:val="00ED05F2"/>
    <w:rsid w:val="00ED0C9B"/>
    <w:rsid w:val="00ED103B"/>
    <w:rsid w:val="00ED1154"/>
    <w:rsid w:val="00ED1F8B"/>
    <w:rsid w:val="00EE22F8"/>
    <w:rsid w:val="00EE78F4"/>
    <w:rsid w:val="00EE7F46"/>
    <w:rsid w:val="00EF0C95"/>
    <w:rsid w:val="00EF693F"/>
    <w:rsid w:val="00F009E5"/>
    <w:rsid w:val="00F23315"/>
    <w:rsid w:val="00F3118E"/>
    <w:rsid w:val="00F330A2"/>
    <w:rsid w:val="00F33EE0"/>
    <w:rsid w:val="00F517C4"/>
    <w:rsid w:val="00F5389E"/>
    <w:rsid w:val="00F54D3A"/>
    <w:rsid w:val="00F62FB1"/>
    <w:rsid w:val="00F6408C"/>
    <w:rsid w:val="00F71259"/>
    <w:rsid w:val="00F75BD8"/>
    <w:rsid w:val="00F808C5"/>
    <w:rsid w:val="00F953A7"/>
    <w:rsid w:val="00F977A9"/>
    <w:rsid w:val="00FA259C"/>
    <w:rsid w:val="00FA3100"/>
    <w:rsid w:val="00FA4213"/>
    <w:rsid w:val="00FB23EE"/>
    <w:rsid w:val="00FB29BB"/>
    <w:rsid w:val="00FB3258"/>
    <w:rsid w:val="00FC3369"/>
    <w:rsid w:val="00FC3D17"/>
    <w:rsid w:val="00FC57FD"/>
    <w:rsid w:val="00FD5633"/>
    <w:rsid w:val="00FD7515"/>
    <w:rsid w:val="00FE2F02"/>
    <w:rsid w:val="00FE3671"/>
    <w:rsid w:val="00FE4A91"/>
    <w:rsid w:val="00FE4C93"/>
    <w:rsid w:val="00FF70D8"/>
    <w:rsid w:val="00FF770F"/>
    <w:rsid w:val="00FF7E4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4ED84"/>
  <w15:docId w15:val="{EAD21A3C-8A93-4326-B3CD-7FAC4221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F5D"/>
    <w:rPr>
      <w:rFonts w:ascii="Arial" w:hAnsi="Arial"/>
      <w:color w:val="54565A"/>
      <w:sz w:val="20"/>
    </w:rPr>
  </w:style>
  <w:style w:type="paragraph" w:styleId="Heading1">
    <w:name w:val="heading 1"/>
    <w:basedOn w:val="Normal"/>
    <w:next w:val="Normal"/>
    <w:link w:val="Heading1Char"/>
    <w:autoRedefine/>
    <w:uiPriority w:val="9"/>
    <w:qFormat/>
    <w:rsid w:val="00C15C46"/>
    <w:pPr>
      <w:keepNext/>
      <w:keepLines/>
      <w:numPr>
        <w:numId w:val="25"/>
      </w:numPr>
      <w:spacing w:before="240" w:after="0"/>
      <w:outlineLvl w:val="0"/>
    </w:pPr>
    <w:rPr>
      <w:rFonts w:eastAsiaTheme="majorEastAsia" w:cstheme="majorBidi"/>
      <w:b/>
      <w:color w:val="004C6C"/>
      <w:sz w:val="32"/>
      <w:szCs w:val="32"/>
    </w:rPr>
  </w:style>
  <w:style w:type="paragraph" w:styleId="Heading2">
    <w:name w:val="heading 2"/>
    <w:aliases w:val="Method123 sub heading,2,Level 2 Heading,h2,Numbered indent 2,ni2,Hanging 2 Indent,numbered indent 2"/>
    <w:basedOn w:val="Normal"/>
    <w:next w:val="Normal"/>
    <w:link w:val="Heading2Char"/>
    <w:autoRedefine/>
    <w:unhideWhenUsed/>
    <w:qFormat/>
    <w:rsid w:val="00052CBB"/>
    <w:pPr>
      <w:keepNext/>
      <w:spacing w:before="240" w:after="60" w:line="276" w:lineRule="auto"/>
      <w:outlineLvl w:val="1"/>
    </w:pPr>
    <w:rPr>
      <w:rFonts w:eastAsia="Times New Roman" w:cs="Times New Roman"/>
      <w:b/>
      <w:bCs/>
      <w:iCs/>
      <w:color w:val="00A9B7"/>
      <w:szCs w:val="28"/>
      <w:lang w:val="en-GB" w:eastAsia="en-GB"/>
    </w:rPr>
  </w:style>
  <w:style w:type="paragraph" w:styleId="Heading3">
    <w:name w:val="heading 3"/>
    <w:basedOn w:val="Normal"/>
    <w:next w:val="Normal"/>
    <w:link w:val="Heading3Char"/>
    <w:autoRedefine/>
    <w:uiPriority w:val="9"/>
    <w:unhideWhenUsed/>
    <w:qFormat/>
    <w:rsid w:val="00EE22F8"/>
    <w:pPr>
      <w:keepNext/>
      <w:keepLines/>
      <w:spacing w:before="40" w:after="0"/>
      <w:outlineLvl w:val="2"/>
    </w:pPr>
    <w:rPr>
      <w:rFonts w:eastAsiaTheme="majorEastAsia" w:cstheme="majorBidi"/>
      <w:b/>
      <w:color w:val="00A9B7"/>
    </w:rPr>
  </w:style>
  <w:style w:type="paragraph" w:styleId="Heading4">
    <w:name w:val="heading 4"/>
    <w:basedOn w:val="Normal"/>
    <w:next w:val="Normal"/>
    <w:link w:val="Heading4Char"/>
    <w:autoRedefine/>
    <w:uiPriority w:val="9"/>
    <w:unhideWhenUsed/>
    <w:qFormat/>
    <w:rsid w:val="00C50606"/>
    <w:pPr>
      <w:keepNext/>
      <w:keepLines/>
      <w:spacing w:before="40" w:after="0"/>
      <w:outlineLvl w:val="3"/>
    </w:pPr>
    <w:rPr>
      <w:rFonts w:eastAsiaTheme="majorEastAsia" w:cstheme="majorBidi"/>
      <w:i/>
      <w:iCs/>
      <w:color w:val="00A9B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02"/>
    <w:pPr>
      <w:tabs>
        <w:tab w:val="center" w:pos="4320"/>
        <w:tab w:val="right" w:pos="8640"/>
      </w:tabs>
      <w:spacing w:after="0"/>
    </w:pPr>
  </w:style>
  <w:style w:type="character" w:customStyle="1" w:styleId="HeaderChar">
    <w:name w:val="Header Char"/>
    <w:basedOn w:val="DefaultParagraphFont"/>
    <w:link w:val="Header"/>
    <w:uiPriority w:val="99"/>
    <w:rsid w:val="00FE2F02"/>
    <w:rPr>
      <w:rFonts w:ascii="Times" w:hAnsi="Times"/>
    </w:rPr>
  </w:style>
  <w:style w:type="paragraph" w:styleId="Footer">
    <w:name w:val="footer"/>
    <w:basedOn w:val="Normal"/>
    <w:link w:val="FooterChar"/>
    <w:uiPriority w:val="99"/>
    <w:unhideWhenUsed/>
    <w:rsid w:val="00FE2F02"/>
    <w:pPr>
      <w:tabs>
        <w:tab w:val="center" w:pos="4320"/>
        <w:tab w:val="right" w:pos="8640"/>
      </w:tabs>
      <w:spacing w:after="0"/>
    </w:pPr>
  </w:style>
  <w:style w:type="character" w:customStyle="1" w:styleId="FooterChar">
    <w:name w:val="Footer Char"/>
    <w:basedOn w:val="DefaultParagraphFont"/>
    <w:link w:val="Footer"/>
    <w:uiPriority w:val="99"/>
    <w:rsid w:val="00FE2F02"/>
    <w:rPr>
      <w:rFonts w:ascii="Times" w:hAnsi="Times"/>
    </w:rPr>
  </w:style>
  <w:style w:type="character" w:customStyle="1" w:styleId="Heading1Char">
    <w:name w:val="Heading 1 Char"/>
    <w:basedOn w:val="DefaultParagraphFont"/>
    <w:link w:val="Heading1"/>
    <w:uiPriority w:val="9"/>
    <w:rsid w:val="00C15C46"/>
    <w:rPr>
      <w:rFonts w:ascii="Arial" w:eastAsiaTheme="majorEastAsia" w:hAnsi="Arial" w:cstheme="majorBidi"/>
      <w:b/>
      <w:color w:val="004C6C"/>
      <w:sz w:val="32"/>
      <w:szCs w:val="32"/>
    </w:rPr>
  </w:style>
  <w:style w:type="character" w:customStyle="1" w:styleId="Heading2Char">
    <w:name w:val="Heading 2 Char"/>
    <w:aliases w:val="Method123 sub heading Char,2 Char,Level 2 Heading Char,h2 Char,Numbered indent 2 Char,ni2 Char,Hanging 2 Indent Char,numbered indent 2 Char"/>
    <w:basedOn w:val="DefaultParagraphFont"/>
    <w:link w:val="Heading2"/>
    <w:rsid w:val="00052CBB"/>
    <w:rPr>
      <w:rFonts w:ascii="Arial" w:eastAsia="Times New Roman" w:hAnsi="Arial" w:cs="Times New Roman"/>
      <w:b/>
      <w:bCs/>
      <w:iCs/>
      <w:color w:val="00A9B7"/>
      <w:sz w:val="20"/>
      <w:szCs w:val="28"/>
      <w:lang w:val="en-GB" w:eastAsia="en-GB"/>
    </w:rPr>
  </w:style>
  <w:style w:type="paragraph" w:customStyle="1" w:styleId="Table">
    <w:name w:val="Table"/>
    <w:basedOn w:val="Normal"/>
    <w:rsid w:val="00E15665"/>
    <w:pPr>
      <w:spacing w:before="120" w:after="120"/>
    </w:pPr>
    <w:rPr>
      <w:rFonts w:eastAsia="Times New Roman" w:cs="Arial"/>
      <w:sz w:val="22"/>
      <w:lang w:val="en-GB" w:eastAsia="en-GB"/>
    </w:rPr>
  </w:style>
  <w:style w:type="paragraph" w:styleId="TOCHeading">
    <w:name w:val="TOC Heading"/>
    <w:basedOn w:val="Heading1"/>
    <w:next w:val="Normal"/>
    <w:uiPriority w:val="39"/>
    <w:unhideWhenUsed/>
    <w:qFormat/>
    <w:rsid w:val="00E15665"/>
    <w:pPr>
      <w:spacing w:line="259" w:lineRule="auto"/>
      <w:outlineLvl w:val="9"/>
    </w:pPr>
  </w:style>
  <w:style w:type="paragraph" w:styleId="TOC1">
    <w:name w:val="toc 1"/>
    <w:basedOn w:val="Normal"/>
    <w:next w:val="Normal"/>
    <w:autoRedefine/>
    <w:uiPriority w:val="39"/>
    <w:unhideWhenUsed/>
    <w:rsid w:val="00E15665"/>
    <w:pPr>
      <w:spacing w:after="100"/>
    </w:pPr>
  </w:style>
  <w:style w:type="paragraph" w:styleId="TOC2">
    <w:name w:val="toc 2"/>
    <w:basedOn w:val="Normal"/>
    <w:next w:val="Normal"/>
    <w:autoRedefine/>
    <w:uiPriority w:val="39"/>
    <w:unhideWhenUsed/>
    <w:rsid w:val="00E15665"/>
    <w:pPr>
      <w:spacing w:after="100"/>
      <w:ind w:left="240"/>
    </w:pPr>
  </w:style>
  <w:style w:type="character" w:styleId="Hyperlink">
    <w:name w:val="Hyperlink"/>
    <w:basedOn w:val="DefaultParagraphFont"/>
    <w:uiPriority w:val="99"/>
    <w:unhideWhenUsed/>
    <w:rsid w:val="00E15665"/>
    <w:rPr>
      <w:color w:val="0000FF" w:themeColor="hyperlink"/>
      <w:u w:val="single"/>
    </w:rPr>
  </w:style>
  <w:style w:type="paragraph" w:styleId="ListParagraph">
    <w:name w:val="List Paragraph"/>
    <w:basedOn w:val="Normal"/>
    <w:uiPriority w:val="34"/>
    <w:qFormat/>
    <w:rsid w:val="00E15665"/>
    <w:pPr>
      <w:ind w:left="720"/>
      <w:contextualSpacing/>
    </w:pPr>
  </w:style>
  <w:style w:type="table" w:styleId="TableGrid">
    <w:name w:val="Table Grid"/>
    <w:basedOn w:val="TableNormal"/>
    <w:uiPriority w:val="59"/>
    <w:rsid w:val="00E156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22F8"/>
    <w:rPr>
      <w:rFonts w:ascii="Arial" w:eastAsiaTheme="majorEastAsia" w:hAnsi="Arial" w:cstheme="majorBidi"/>
      <w:b/>
      <w:color w:val="00A9B7"/>
    </w:rPr>
  </w:style>
  <w:style w:type="paragraph" w:styleId="TOC3">
    <w:name w:val="toc 3"/>
    <w:basedOn w:val="Normal"/>
    <w:next w:val="Normal"/>
    <w:autoRedefine/>
    <w:uiPriority w:val="39"/>
    <w:unhideWhenUsed/>
    <w:rsid w:val="001C27DA"/>
    <w:pPr>
      <w:spacing w:after="100"/>
      <w:ind w:left="480"/>
    </w:pPr>
  </w:style>
  <w:style w:type="paragraph" w:styleId="NoSpacing">
    <w:name w:val="No Spacing"/>
    <w:link w:val="NoSpacingChar"/>
    <w:uiPriority w:val="1"/>
    <w:qFormat/>
    <w:rsid w:val="00AC5109"/>
    <w:pPr>
      <w:spacing w:after="0"/>
    </w:pPr>
    <w:rPr>
      <w:rFonts w:ascii="Times" w:hAnsi="Times"/>
    </w:rPr>
  </w:style>
  <w:style w:type="character" w:customStyle="1" w:styleId="Heading4Char">
    <w:name w:val="Heading 4 Char"/>
    <w:basedOn w:val="DefaultParagraphFont"/>
    <w:link w:val="Heading4"/>
    <w:uiPriority w:val="9"/>
    <w:rsid w:val="00C50606"/>
    <w:rPr>
      <w:rFonts w:ascii="Arial" w:eastAsiaTheme="majorEastAsia" w:hAnsi="Arial" w:cstheme="majorBidi"/>
      <w:i/>
      <w:iCs/>
      <w:color w:val="00A9B7"/>
    </w:rPr>
  </w:style>
  <w:style w:type="paragraph" w:styleId="NormalWeb">
    <w:name w:val="Normal (Web)"/>
    <w:basedOn w:val="Normal"/>
    <w:autoRedefine/>
    <w:uiPriority w:val="99"/>
    <w:semiHidden/>
    <w:unhideWhenUsed/>
    <w:rsid w:val="00FB23EE"/>
    <w:pPr>
      <w:spacing w:after="0"/>
    </w:pPr>
    <w:rPr>
      <w:rFonts w:ascii="Times New Roman" w:hAnsi="Times New Roman" w:cs="Times New Roman"/>
      <w:lang w:val="en-GB" w:eastAsia="en-GB"/>
    </w:rPr>
  </w:style>
  <w:style w:type="character" w:styleId="CommentReference">
    <w:name w:val="annotation reference"/>
    <w:basedOn w:val="DefaultParagraphFont"/>
    <w:uiPriority w:val="99"/>
    <w:semiHidden/>
    <w:unhideWhenUsed/>
    <w:rsid w:val="00DB642D"/>
    <w:rPr>
      <w:sz w:val="16"/>
      <w:szCs w:val="16"/>
    </w:rPr>
  </w:style>
  <w:style w:type="paragraph" w:styleId="CommentText">
    <w:name w:val="annotation text"/>
    <w:basedOn w:val="Normal"/>
    <w:link w:val="CommentTextChar"/>
    <w:uiPriority w:val="99"/>
    <w:semiHidden/>
    <w:unhideWhenUsed/>
    <w:rsid w:val="00DB642D"/>
    <w:rPr>
      <w:szCs w:val="20"/>
    </w:rPr>
  </w:style>
  <w:style w:type="character" w:customStyle="1" w:styleId="CommentTextChar">
    <w:name w:val="Comment Text Char"/>
    <w:basedOn w:val="DefaultParagraphFont"/>
    <w:link w:val="CommentText"/>
    <w:uiPriority w:val="99"/>
    <w:semiHidden/>
    <w:rsid w:val="00DB642D"/>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DB642D"/>
    <w:rPr>
      <w:b/>
      <w:bCs/>
    </w:rPr>
  </w:style>
  <w:style w:type="character" w:customStyle="1" w:styleId="CommentSubjectChar">
    <w:name w:val="Comment Subject Char"/>
    <w:basedOn w:val="CommentTextChar"/>
    <w:link w:val="CommentSubject"/>
    <w:uiPriority w:val="99"/>
    <w:semiHidden/>
    <w:rsid w:val="00DB642D"/>
    <w:rPr>
      <w:rFonts w:ascii="Times" w:hAnsi="Times"/>
      <w:b/>
      <w:bCs/>
      <w:sz w:val="20"/>
      <w:szCs w:val="20"/>
    </w:rPr>
  </w:style>
  <w:style w:type="paragraph" w:styleId="BalloonText">
    <w:name w:val="Balloon Text"/>
    <w:basedOn w:val="Normal"/>
    <w:link w:val="BalloonTextChar"/>
    <w:uiPriority w:val="99"/>
    <w:semiHidden/>
    <w:unhideWhenUsed/>
    <w:rsid w:val="00DB64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42D"/>
    <w:rPr>
      <w:rFonts w:ascii="Segoe UI" w:hAnsi="Segoe UI" w:cs="Segoe UI"/>
      <w:sz w:val="18"/>
      <w:szCs w:val="18"/>
    </w:rPr>
  </w:style>
  <w:style w:type="character" w:customStyle="1" w:styleId="NoSpacingChar">
    <w:name w:val="No Spacing Char"/>
    <w:basedOn w:val="DefaultParagraphFont"/>
    <w:link w:val="NoSpacing"/>
    <w:uiPriority w:val="1"/>
    <w:rsid w:val="00303794"/>
    <w:rPr>
      <w:rFonts w:ascii="Times" w:hAnsi="Times"/>
    </w:rPr>
  </w:style>
  <w:style w:type="paragraph" w:styleId="FootnoteText">
    <w:name w:val="footnote text"/>
    <w:basedOn w:val="Normal"/>
    <w:link w:val="FootnoteTextChar"/>
    <w:uiPriority w:val="99"/>
    <w:semiHidden/>
    <w:unhideWhenUsed/>
    <w:rsid w:val="006C02DB"/>
    <w:pPr>
      <w:spacing w:after="0"/>
    </w:pPr>
    <w:rPr>
      <w:szCs w:val="20"/>
    </w:rPr>
  </w:style>
  <w:style w:type="character" w:customStyle="1" w:styleId="FootnoteTextChar">
    <w:name w:val="Footnote Text Char"/>
    <w:basedOn w:val="DefaultParagraphFont"/>
    <w:link w:val="FootnoteText"/>
    <w:uiPriority w:val="99"/>
    <w:semiHidden/>
    <w:rsid w:val="006C02DB"/>
    <w:rPr>
      <w:rFonts w:ascii="Arial" w:hAnsi="Arial"/>
      <w:color w:val="54565A"/>
      <w:sz w:val="20"/>
      <w:szCs w:val="20"/>
    </w:rPr>
  </w:style>
  <w:style w:type="character" w:styleId="FootnoteReference">
    <w:name w:val="footnote reference"/>
    <w:basedOn w:val="DefaultParagraphFont"/>
    <w:uiPriority w:val="99"/>
    <w:semiHidden/>
    <w:unhideWhenUsed/>
    <w:rsid w:val="006C02DB"/>
    <w:rPr>
      <w:vertAlign w:val="superscript"/>
    </w:rPr>
  </w:style>
  <w:style w:type="paragraph" w:styleId="Revision">
    <w:name w:val="Revision"/>
    <w:hidden/>
    <w:uiPriority w:val="99"/>
    <w:semiHidden/>
    <w:rsid w:val="00FD5633"/>
    <w:pPr>
      <w:spacing w:after="0"/>
    </w:pPr>
    <w:rPr>
      <w:rFonts w:ascii="Arial" w:hAnsi="Arial"/>
      <w:color w:val="54565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284892">
      <w:bodyDiv w:val="1"/>
      <w:marLeft w:val="0"/>
      <w:marRight w:val="0"/>
      <w:marTop w:val="0"/>
      <w:marBottom w:val="0"/>
      <w:divBdr>
        <w:top w:val="none" w:sz="0" w:space="0" w:color="auto"/>
        <w:left w:val="none" w:sz="0" w:space="0" w:color="auto"/>
        <w:bottom w:val="none" w:sz="0" w:space="0" w:color="auto"/>
        <w:right w:val="none" w:sz="0" w:space="0" w:color="auto"/>
      </w:divBdr>
    </w:div>
    <w:div w:id="776948673">
      <w:bodyDiv w:val="1"/>
      <w:marLeft w:val="0"/>
      <w:marRight w:val="0"/>
      <w:marTop w:val="0"/>
      <w:marBottom w:val="0"/>
      <w:divBdr>
        <w:top w:val="none" w:sz="0" w:space="0" w:color="auto"/>
        <w:left w:val="none" w:sz="0" w:space="0" w:color="auto"/>
        <w:bottom w:val="none" w:sz="0" w:space="0" w:color="auto"/>
        <w:right w:val="none" w:sz="0" w:space="0" w:color="auto"/>
      </w:divBdr>
      <w:divsChild>
        <w:div w:id="1005665876">
          <w:marLeft w:val="864"/>
          <w:marRight w:val="0"/>
          <w:marTop w:val="134"/>
          <w:marBottom w:val="0"/>
          <w:divBdr>
            <w:top w:val="none" w:sz="0" w:space="0" w:color="auto"/>
            <w:left w:val="none" w:sz="0" w:space="0" w:color="auto"/>
            <w:bottom w:val="none" w:sz="0" w:space="0" w:color="auto"/>
            <w:right w:val="none" w:sz="0" w:space="0" w:color="auto"/>
          </w:divBdr>
        </w:div>
      </w:divsChild>
    </w:div>
    <w:div w:id="1775048812">
      <w:bodyDiv w:val="1"/>
      <w:marLeft w:val="0"/>
      <w:marRight w:val="0"/>
      <w:marTop w:val="0"/>
      <w:marBottom w:val="0"/>
      <w:divBdr>
        <w:top w:val="none" w:sz="0" w:space="0" w:color="auto"/>
        <w:left w:val="none" w:sz="0" w:space="0" w:color="auto"/>
        <w:bottom w:val="none" w:sz="0" w:space="0" w:color="auto"/>
        <w:right w:val="none" w:sz="0" w:space="0" w:color="auto"/>
      </w:divBdr>
    </w:div>
    <w:div w:id="1992370101">
      <w:bodyDiv w:val="1"/>
      <w:marLeft w:val="0"/>
      <w:marRight w:val="0"/>
      <w:marTop w:val="0"/>
      <w:marBottom w:val="0"/>
      <w:divBdr>
        <w:top w:val="none" w:sz="0" w:space="0" w:color="auto"/>
        <w:left w:val="none" w:sz="0" w:space="0" w:color="auto"/>
        <w:bottom w:val="none" w:sz="0" w:space="0" w:color="auto"/>
        <w:right w:val="none" w:sz="0" w:space="0" w:color="auto"/>
      </w:divBdr>
    </w:div>
    <w:div w:id="2006129812">
      <w:bodyDiv w:val="1"/>
      <w:marLeft w:val="0"/>
      <w:marRight w:val="0"/>
      <w:marTop w:val="0"/>
      <w:marBottom w:val="0"/>
      <w:divBdr>
        <w:top w:val="none" w:sz="0" w:space="0" w:color="auto"/>
        <w:left w:val="none" w:sz="0" w:space="0" w:color="auto"/>
        <w:bottom w:val="none" w:sz="0" w:space="0" w:color="auto"/>
        <w:right w:val="none" w:sz="0" w:space="0" w:color="auto"/>
      </w:divBdr>
    </w:div>
    <w:div w:id="201106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el.breslin\Downloads\Policy%20Template%20SHW%20training%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497A5DDE61EC49B38F08F69D7D1C30" ma:contentTypeVersion="15" ma:contentTypeDescription="Create a new document." ma:contentTypeScope="" ma:versionID="2f77e31a281464dd208cad489a4aeaad">
  <xsd:schema xmlns:xsd="http://www.w3.org/2001/XMLSchema" xmlns:xs="http://www.w3.org/2001/XMLSchema" xmlns:p="http://schemas.microsoft.com/office/2006/metadata/properties" xmlns:ns3="186a8af6-524e-48fb-a2b5-8db5625d742b" xmlns:ns4="8713c86b-11c3-4892-8b22-8e1103c1c89f" targetNamespace="http://schemas.microsoft.com/office/2006/metadata/properties" ma:root="true" ma:fieldsID="77bb3f034c6b5e3ccf29476685d74b6e" ns3:_="" ns4:_="">
    <xsd:import namespace="186a8af6-524e-48fb-a2b5-8db5625d742b"/>
    <xsd:import namespace="8713c86b-11c3-4892-8b22-8e1103c1c8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UniqueSourceRef" minOccurs="0"/>
                <xsd:element ref="ns3:FileHash" minOccurs="0"/>
                <xsd:element ref="ns3:CloudMigratorVers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a8af6-524e-48fb-a2b5-8db5625d7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UniqueSourceRef" ma:index="18" nillable="true" ma:displayName="UniqueSourceRef" ma:internalName="UniqueSourceRef">
      <xsd:simpleType>
        <xsd:restriction base="dms:Note">
          <xsd:maxLength value="255"/>
        </xsd:restriction>
      </xsd:simpleType>
    </xsd:element>
    <xsd:element name="FileHash" ma:index="19" nillable="true" ma:displayName="FileHash" ma:internalName="FileHash">
      <xsd:simpleType>
        <xsd:restriction base="dms:Note">
          <xsd:maxLength value="255"/>
        </xsd:restriction>
      </xsd:simpleType>
    </xsd:element>
    <xsd:element name="CloudMigratorVersion" ma:index="20" nillable="true" ma:displayName="CloudMigratorVersion" ma:internalName="CloudMigratorVersion">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13c86b-11c3-4892-8b22-8e1103c1c8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iqueSourceRef xmlns="186a8af6-524e-48fb-a2b5-8db5625d742b" xsi:nil="true"/>
    <CloudMigratorVersion xmlns="186a8af6-524e-48fb-a2b5-8db5625d742b" xsi:nil="true"/>
    <FileHash xmlns="186a8af6-524e-48fb-a2b5-8db5625d74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B7F5-6689-4EA5-B06A-78A560D24D69}">
  <ds:schemaRefs>
    <ds:schemaRef ds:uri="http://schemas.microsoft.com/sharepoint/v3/contenttype/forms"/>
  </ds:schemaRefs>
</ds:datastoreItem>
</file>

<file path=customXml/itemProps2.xml><?xml version="1.0" encoding="utf-8"?>
<ds:datastoreItem xmlns:ds="http://schemas.openxmlformats.org/officeDocument/2006/customXml" ds:itemID="{F93DBA0E-0AAF-4622-833F-5D655EE95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a8af6-524e-48fb-a2b5-8db5625d742b"/>
    <ds:schemaRef ds:uri="8713c86b-11c3-4892-8b22-8e1103c1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E0F56-C60F-478C-8EE8-9F70757313AA}">
  <ds:schemaRefs>
    <ds:schemaRef ds:uri="http://schemas.microsoft.com/office/2006/metadata/properties"/>
    <ds:schemaRef ds:uri="http://schemas.microsoft.com/office/infopath/2007/PartnerControls"/>
    <ds:schemaRef ds:uri="186a8af6-524e-48fb-a2b5-8db5625d742b"/>
  </ds:schemaRefs>
</ds:datastoreItem>
</file>

<file path=customXml/itemProps4.xml><?xml version="1.0" encoding="utf-8"?>
<ds:datastoreItem xmlns:ds="http://schemas.openxmlformats.org/officeDocument/2006/customXml" ds:itemID="{2F6E4817-3020-4B61-9502-DA71ED0C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SHW training policy.dotx</Template>
  <TotalTime>1</TotalTime>
  <Pages>6</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DIT</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Niland</dc:creator>
  <cp:keywords/>
  <cp:lastModifiedBy>Sinead Collins</cp:lastModifiedBy>
  <cp:revision>2</cp:revision>
  <cp:lastPrinted>2021-08-11T10:04:00Z</cp:lastPrinted>
  <dcterms:created xsi:type="dcterms:W3CDTF">2023-12-07T15:05:00Z</dcterms:created>
  <dcterms:modified xsi:type="dcterms:W3CDTF">2023-12-07T15:05:00Z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0x010100CE497A5DDE61EC49B38F08F69D7D1C30</vt:lpwstr>
  </property>
</Properties>
</file>